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54EF4" w14:paraId="456571FB" w14:textId="77777777">
        <w:trPr>
          <w:tblCellSpacing w:w="60" w:type="dxa"/>
        </w:trPr>
        <w:tc>
          <w:tcPr>
            <w:tcW w:w="1200" w:type="pct"/>
            <w:shd w:val="clear" w:color="auto" w:fill="E7F0F9"/>
          </w:tcPr>
          <w:p w14:paraId="2828506E" w14:textId="77777777" w:rsidR="00D54EF4" w:rsidRDefault="00957D41">
            <w:pPr>
              <w:spacing w:after="0" w:line="240" w:lineRule="auto"/>
            </w:pPr>
            <w:r>
              <w:rPr>
                <w:b/>
              </w:rPr>
              <w:t>RKP broj</w:t>
            </w:r>
          </w:p>
        </w:tc>
        <w:tc>
          <w:tcPr>
            <w:tcW w:w="0" w:type="auto"/>
            <w:shd w:val="clear" w:color="auto" w:fill="E7F0F9"/>
          </w:tcPr>
          <w:p w14:paraId="2DA24608" w14:textId="77777777" w:rsidR="00D54EF4" w:rsidRDefault="00957D41">
            <w:pPr>
              <w:spacing w:after="0" w:line="240" w:lineRule="auto"/>
            </w:pPr>
            <w:r>
              <w:t>51280</w:t>
            </w:r>
          </w:p>
        </w:tc>
      </w:tr>
      <w:tr w:rsidR="00D54EF4" w14:paraId="169A319C" w14:textId="77777777">
        <w:trPr>
          <w:tblCellSpacing w:w="60" w:type="dxa"/>
        </w:trPr>
        <w:tc>
          <w:tcPr>
            <w:tcW w:w="1200" w:type="pct"/>
            <w:shd w:val="clear" w:color="auto" w:fill="E7F0F9"/>
          </w:tcPr>
          <w:p w14:paraId="5FD27230" w14:textId="77777777" w:rsidR="00D54EF4" w:rsidRDefault="00957D41">
            <w:pPr>
              <w:spacing w:after="0" w:line="240" w:lineRule="auto"/>
            </w:pPr>
            <w:r>
              <w:rPr>
                <w:b/>
              </w:rPr>
              <w:t>Naziv obveznika</w:t>
            </w:r>
          </w:p>
        </w:tc>
        <w:tc>
          <w:tcPr>
            <w:tcW w:w="0" w:type="auto"/>
            <w:shd w:val="clear" w:color="auto" w:fill="E7F0F9"/>
          </w:tcPr>
          <w:p w14:paraId="27738AA2" w14:textId="77777777" w:rsidR="00D54EF4" w:rsidRDefault="00957D41">
            <w:pPr>
              <w:spacing w:after="0" w:line="240" w:lineRule="auto"/>
            </w:pPr>
            <w:r>
              <w:t>LUČKA UPRAVA VUKOVAR</w:t>
            </w:r>
          </w:p>
        </w:tc>
      </w:tr>
      <w:tr w:rsidR="00D54EF4" w14:paraId="1F3662D4" w14:textId="77777777">
        <w:trPr>
          <w:tblCellSpacing w:w="60" w:type="dxa"/>
        </w:trPr>
        <w:tc>
          <w:tcPr>
            <w:tcW w:w="1200" w:type="pct"/>
            <w:shd w:val="clear" w:color="auto" w:fill="E7F0F9"/>
          </w:tcPr>
          <w:p w14:paraId="346DEF76" w14:textId="77777777" w:rsidR="00D54EF4" w:rsidRDefault="00957D41">
            <w:pPr>
              <w:spacing w:after="0" w:line="240" w:lineRule="auto"/>
            </w:pPr>
            <w:r>
              <w:rPr>
                <w:b/>
              </w:rPr>
              <w:t>Razina</w:t>
            </w:r>
          </w:p>
        </w:tc>
        <w:tc>
          <w:tcPr>
            <w:tcW w:w="0" w:type="auto"/>
            <w:shd w:val="clear" w:color="auto" w:fill="E7F0F9"/>
          </w:tcPr>
          <w:p w14:paraId="788847C6" w14:textId="77777777" w:rsidR="00D54EF4" w:rsidRDefault="00957D41">
            <w:pPr>
              <w:spacing w:after="0" w:line="240" w:lineRule="auto"/>
            </w:pPr>
            <w:r>
              <w:t>11</w:t>
            </w:r>
          </w:p>
        </w:tc>
      </w:tr>
    </w:tbl>
    <w:p w14:paraId="047A2813" w14:textId="77777777" w:rsidR="00D54EF4" w:rsidRDefault="00957D41">
      <w:r>
        <w:br/>
      </w:r>
    </w:p>
    <w:p w14:paraId="5D601833" w14:textId="77777777" w:rsidR="00D54EF4" w:rsidRDefault="00957D41">
      <w:pPr>
        <w:spacing w:line="240" w:lineRule="auto"/>
        <w:jc w:val="center"/>
      </w:pPr>
      <w:r>
        <w:rPr>
          <w:b/>
          <w:sz w:val="28"/>
        </w:rPr>
        <w:t>BILJEŠKE UZ FINANCIJSKE IZVJEŠTAJE</w:t>
      </w:r>
    </w:p>
    <w:p w14:paraId="4A8D3850" w14:textId="77777777" w:rsidR="00D54EF4" w:rsidRDefault="00957D41">
      <w:pPr>
        <w:spacing w:line="240" w:lineRule="auto"/>
        <w:jc w:val="center"/>
      </w:pPr>
      <w:r>
        <w:rPr>
          <w:b/>
          <w:sz w:val="28"/>
        </w:rPr>
        <w:t>ZA RAZDOBLJE</w:t>
      </w:r>
    </w:p>
    <w:p w14:paraId="26B64276" w14:textId="77777777" w:rsidR="00D54EF4" w:rsidRDefault="00957D41">
      <w:pPr>
        <w:spacing w:line="240" w:lineRule="auto"/>
        <w:jc w:val="center"/>
      </w:pPr>
      <w:r>
        <w:rPr>
          <w:b/>
          <w:sz w:val="28"/>
        </w:rPr>
        <w:t>I - XII 2025.</w:t>
      </w:r>
    </w:p>
    <w:p w14:paraId="392063D6" w14:textId="77777777" w:rsidR="00D54EF4" w:rsidRDefault="00D54EF4"/>
    <w:p w14:paraId="2AA2E0B6" w14:textId="77777777" w:rsidR="00D54EF4" w:rsidRDefault="00957D41">
      <w:pPr>
        <w:keepNext/>
        <w:spacing w:line="240" w:lineRule="auto"/>
        <w:jc w:val="center"/>
      </w:pPr>
      <w:r>
        <w:rPr>
          <w:b/>
          <w:sz w:val="28"/>
        </w:rPr>
        <w:t>Izvještaj o prihodima i rashodima, primicima i izdacima</w:t>
      </w:r>
    </w:p>
    <w:p w14:paraId="45936309" w14:textId="77777777" w:rsidR="00D54EF4" w:rsidRDefault="00957D4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1D638B30" w14:textId="77777777">
        <w:trPr>
          <w:cantSplit/>
        </w:trPr>
        <w:tc>
          <w:tcPr>
            <w:tcW w:w="700" w:type="dxa"/>
            <w:shd w:val="clear" w:color="auto" w:fill="E7F0F9"/>
            <w:tcMar>
              <w:top w:w="0" w:type="dxa"/>
              <w:bottom w:w="0" w:type="dxa"/>
            </w:tcMar>
            <w:vAlign w:val="center"/>
          </w:tcPr>
          <w:p w14:paraId="424B1D99"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BB3B71"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4351E"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69C49"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3674F0"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0DB8C" w14:textId="77777777" w:rsidR="00D54EF4" w:rsidRDefault="00957D41">
            <w:pPr>
              <w:keepNext/>
              <w:keepLines/>
              <w:spacing w:after="0" w:line="240" w:lineRule="auto"/>
              <w:jc w:val="center"/>
            </w:pPr>
            <w:r>
              <w:rPr>
                <w:b/>
                <w:sz w:val="18"/>
              </w:rPr>
              <w:t>Indeks (%)</w:t>
            </w:r>
          </w:p>
        </w:tc>
      </w:tr>
      <w:tr w:rsidR="00D54EF4" w14:paraId="6ECA12DF" w14:textId="77777777">
        <w:trPr>
          <w:cantSplit/>
          <w:trHeight w:val="560"/>
        </w:trPr>
        <w:tc>
          <w:tcPr>
            <w:tcW w:w="700" w:type="dxa"/>
            <w:tcMar>
              <w:top w:w="0" w:type="dxa"/>
              <w:bottom w:w="0" w:type="dxa"/>
            </w:tcMar>
            <w:vAlign w:val="center"/>
          </w:tcPr>
          <w:p w14:paraId="0EDF77B3" w14:textId="77777777" w:rsidR="00D54EF4" w:rsidRDefault="00957D41">
            <w:pPr>
              <w:keepNext/>
              <w:keepLines/>
              <w:spacing w:after="0" w:line="240" w:lineRule="auto"/>
            </w:pPr>
            <w:r>
              <w:rPr>
                <w:sz w:val="18"/>
              </w:rPr>
              <w:t>6</w:t>
            </w:r>
          </w:p>
        </w:tc>
        <w:tc>
          <w:tcPr>
            <w:tcW w:w="3180" w:type="dxa"/>
            <w:tcMar>
              <w:top w:w="0" w:type="dxa"/>
              <w:bottom w:w="0" w:type="dxa"/>
            </w:tcMar>
            <w:vAlign w:val="center"/>
          </w:tcPr>
          <w:p w14:paraId="2DFFB78A" w14:textId="77777777" w:rsidR="00D54EF4" w:rsidRDefault="00957D41">
            <w:pPr>
              <w:keepNext/>
              <w:keepLines/>
              <w:spacing w:after="0" w:line="240" w:lineRule="auto"/>
            </w:pPr>
            <w:r>
              <w:rPr>
                <w:sz w:val="18"/>
              </w:rPr>
              <w:t>PRIHODI POSLOVANJA (šifre 61+62+63+64+65+66+67+68)</w:t>
            </w:r>
          </w:p>
        </w:tc>
        <w:tc>
          <w:tcPr>
            <w:tcW w:w="700" w:type="dxa"/>
            <w:tcMar>
              <w:top w:w="0" w:type="dxa"/>
              <w:bottom w:w="0" w:type="dxa"/>
            </w:tcMar>
            <w:vAlign w:val="center"/>
          </w:tcPr>
          <w:p w14:paraId="4630F4BC" w14:textId="77777777" w:rsidR="00D54EF4" w:rsidRDefault="00957D41">
            <w:pPr>
              <w:keepNext/>
              <w:keepLines/>
              <w:spacing w:after="0" w:line="240" w:lineRule="auto"/>
            </w:pPr>
            <w:r>
              <w:rPr>
                <w:sz w:val="18"/>
              </w:rPr>
              <w:t>6</w:t>
            </w:r>
          </w:p>
        </w:tc>
        <w:tc>
          <w:tcPr>
            <w:tcW w:w="1860" w:type="dxa"/>
            <w:tcMar>
              <w:top w:w="0" w:type="dxa"/>
              <w:bottom w:w="0" w:type="dxa"/>
            </w:tcMar>
            <w:vAlign w:val="center"/>
          </w:tcPr>
          <w:p w14:paraId="5F29B4B3" w14:textId="77777777" w:rsidR="00D54EF4" w:rsidRDefault="00957D41">
            <w:pPr>
              <w:keepNext/>
              <w:keepLines/>
              <w:spacing w:after="0" w:line="240" w:lineRule="auto"/>
              <w:jc w:val="right"/>
            </w:pPr>
            <w:r>
              <w:rPr>
                <w:sz w:val="18"/>
              </w:rPr>
              <w:t>4.165.022,78</w:t>
            </w:r>
          </w:p>
        </w:tc>
        <w:tc>
          <w:tcPr>
            <w:tcW w:w="1860" w:type="dxa"/>
            <w:tcMar>
              <w:top w:w="0" w:type="dxa"/>
              <w:bottom w:w="0" w:type="dxa"/>
            </w:tcMar>
            <w:vAlign w:val="center"/>
          </w:tcPr>
          <w:p w14:paraId="5E062026" w14:textId="77777777" w:rsidR="00D54EF4" w:rsidRDefault="00957D41">
            <w:pPr>
              <w:keepNext/>
              <w:keepLines/>
              <w:spacing w:after="0" w:line="240" w:lineRule="auto"/>
              <w:jc w:val="right"/>
            </w:pPr>
            <w:r>
              <w:rPr>
                <w:sz w:val="18"/>
              </w:rPr>
              <w:t>6.071.074,64</w:t>
            </w:r>
          </w:p>
        </w:tc>
        <w:tc>
          <w:tcPr>
            <w:tcW w:w="700" w:type="dxa"/>
            <w:tcMar>
              <w:top w:w="0" w:type="dxa"/>
              <w:bottom w:w="0" w:type="dxa"/>
            </w:tcMar>
            <w:vAlign w:val="center"/>
          </w:tcPr>
          <w:p w14:paraId="2C0C4BF0" w14:textId="77777777" w:rsidR="00D54EF4" w:rsidRDefault="00957D41">
            <w:pPr>
              <w:keepNext/>
              <w:keepLines/>
              <w:spacing w:after="0" w:line="240" w:lineRule="auto"/>
              <w:jc w:val="right"/>
            </w:pPr>
            <w:r>
              <w:rPr>
                <w:sz w:val="18"/>
              </w:rPr>
              <w:t>145,8</w:t>
            </w:r>
          </w:p>
        </w:tc>
      </w:tr>
      <w:tr w:rsidR="00D54EF4" w14:paraId="18E1F277" w14:textId="77777777">
        <w:trPr>
          <w:cantSplit/>
          <w:trHeight w:val="560"/>
        </w:trPr>
        <w:tc>
          <w:tcPr>
            <w:tcW w:w="700" w:type="dxa"/>
            <w:tcMar>
              <w:top w:w="0" w:type="dxa"/>
              <w:bottom w:w="0" w:type="dxa"/>
            </w:tcMar>
            <w:vAlign w:val="center"/>
          </w:tcPr>
          <w:p w14:paraId="5942E94D" w14:textId="77777777" w:rsidR="00D54EF4" w:rsidRDefault="00957D41">
            <w:pPr>
              <w:keepNext/>
              <w:keepLines/>
              <w:spacing w:after="0" w:line="240" w:lineRule="auto"/>
            </w:pPr>
            <w:r>
              <w:rPr>
                <w:sz w:val="18"/>
              </w:rPr>
              <w:t>3</w:t>
            </w:r>
          </w:p>
        </w:tc>
        <w:tc>
          <w:tcPr>
            <w:tcW w:w="3180" w:type="dxa"/>
            <w:tcMar>
              <w:top w:w="0" w:type="dxa"/>
              <w:bottom w:w="0" w:type="dxa"/>
            </w:tcMar>
            <w:vAlign w:val="center"/>
          </w:tcPr>
          <w:p w14:paraId="76FD0536" w14:textId="77777777" w:rsidR="00D54EF4" w:rsidRDefault="00957D41">
            <w:pPr>
              <w:keepNext/>
              <w:keepLines/>
              <w:spacing w:after="0" w:line="240" w:lineRule="auto"/>
            </w:pPr>
            <w:r>
              <w:rPr>
                <w:sz w:val="18"/>
              </w:rPr>
              <w:t>RASHODI POSLOVANJA (šifre 31+32+34+35+36+37+38)</w:t>
            </w:r>
          </w:p>
        </w:tc>
        <w:tc>
          <w:tcPr>
            <w:tcW w:w="700" w:type="dxa"/>
            <w:tcMar>
              <w:top w:w="0" w:type="dxa"/>
              <w:bottom w:w="0" w:type="dxa"/>
            </w:tcMar>
            <w:vAlign w:val="center"/>
          </w:tcPr>
          <w:p w14:paraId="63BDEB71" w14:textId="77777777" w:rsidR="00D54EF4" w:rsidRDefault="00957D41">
            <w:pPr>
              <w:keepNext/>
              <w:keepLines/>
              <w:spacing w:after="0" w:line="240" w:lineRule="auto"/>
            </w:pPr>
            <w:r>
              <w:rPr>
                <w:sz w:val="18"/>
              </w:rPr>
              <w:t>3</w:t>
            </w:r>
          </w:p>
        </w:tc>
        <w:tc>
          <w:tcPr>
            <w:tcW w:w="1860" w:type="dxa"/>
            <w:tcMar>
              <w:top w:w="0" w:type="dxa"/>
              <w:bottom w:w="0" w:type="dxa"/>
            </w:tcMar>
            <w:vAlign w:val="center"/>
          </w:tcPr>
          <w:p w14:paraId="07FE2D97" w14:textId="77777777" w:rsidR="00D54EF4" w:rsidRDefault="00957D41">
            <w:pPr>
              <w:keepNext/>
              <w:keepLines/>
              <w:spacing w:after="0" w:line="240" w:lineRule="auto"/>
              <w:jc w:val="right"/>
            </w:pPr>
            <w:r>
              <w:rPr>
                <w:sz w:val="18"/>
              </w:rPr>
              <w:t>1.880.192,92</w:t>
            </w:r>
          </w:p>
        </w:tc>
        <w:tc>
          <w:tcPr>
            <w:tcW w:w="1860" w:type="dxa"/>
            <w:tcMar>
              <w:top w:w="0" w:type="dxa"/>
              <w:bottom w:w="0" w:type="dxa"/>
            </w:tcMar>
            <w:vAlign w:val="center"/>
          </w:tcPr>
          <w:p w14:paraId="3D279DAC" w14:textId="77777777" w:rsidR="00D54EF4" w:rsidRDefault="00957D41">
            <w:pPr>
              <w:keepNext/>
              <w:keepLines/>
              <w:spacing w:after="0" w:line="240" w:lineRule="auto"/>
              <w:jc w:val="right"/>
            </w:pPr>
            <w:r>
              <w:rPr>
                <w:sz w:val="18"/>
              </w:rPr>
              <w:t>1.539.417,81</w:t>
            </w:r>
          </w:p>
        </w:tc>
        <w:tc>
          <w:tcPr>
            <w:tcW w:w="700" w:type="dxa"/>
            <w:tcMar>
              <w:top w:w="0" w:type="dxa"/>
              <w:bottom w:w="0" w:type="dxa"/>
            </w:tcMar>
            <w:vAlign w:val="center"/>
          </w:tcPr>
          <w:p w14:paraId="33D8A295" w14:textId="77777777" w:rsidR="00D54EF4" w:rsidRDefault="00957D41">
            <w:pPr>
              <w:keepNext/>
              <w:keepLines/>
              <w:spacing w:after="0" w:line="240" w:lineRule="auto"/>
              <w:jc w:val="right"/>
            </w:pPr>
            <w:r>
              <w:rPr>
                <w:sz w:val="18"/>
              </w:rPr>
              <w:t>81,9</w:t>
            </w:r>
          </w:p>
        </w:tc>
      </w:tr>
      <w:tr w:rsidR="00D54EF4" w14:paraId="325D7FD2" w14:textId="77777777">
        <w:trPr>
          <w:cantSplit/>
          <w:trHeight w:val="560"/>
        </w:trPr>
        <w:tc>
          <w:tcPr>
            <w:tcW w:w="700" w:type="dxa"/>
            <w:tcMar>
              <w:top w:w="0" w:type="dxa"/>
              <w:bottom w:w="0" w:type="dxa"/>
            </w:tcMar>
            <w:vAlign w:val="center"/>
          </w:tcPr>
          <w:p w14:paraId="2F1F8BE2" w14:textId="77777777" w:rsidR="00D54EF4" w:rsidRDefault="00D54EF4">
            <w:pPr>
              <w:keepNext/>
              <w:keepLines/>
              <w:spacing w:after="0" w:line="240" w:lineRule="auto"/>
            </w:pPr>
          </w:p>
        </w:tc>
        <w:tc>
          <w:tcPr>
            <w:tcW w:w="3180" w:type="dxa"/>
            <w:tcMar>
              <w:top w:w="0" w:type="dxa"/>
              <w:bottom w:w="0" w:type="dxa"/>
            </w:tcMar>
            <w:vAlign w:val="center"/>
          </w:tcPr>
          <w:p w14:paraId="68462FF8" w14:textId="77777777" w:rsidR="00D54EF4" w:rsidRDefault="00957D41">
            <w:pPr>
              <w:keepNext/>
              <w:keepLines/>
              <w:spacing w:after="0" w:line="240" w:lineRule="auto"/>
            </w:pPr>
            <w:r>
              <w:rPr>
                <w:b/>
                <w:sz w:val="18"/>
              </w:rPr>
              <w:t>VIŠAK PRIHODA POSLOVANJA (šifre 6-Z005)</w:t>
            </w:r>
          </w:p>
        </w:tc>
        <w:tc>
          <w:tcPr>
            <w:tcW w:w="700" w:type="dxa"/>
            <w:tcMar>
              <w:top w:w="0" w:type="dxa"/>
              <w:bottom w:w="0" w:type="dxa"/>
            </w:tcMar>
            <w:vAlign w:val="center"/>
          </w:tcPr>
          <w:p w14:paraId="67AB393F" w14:textId="77777777" w:rsidR="00D54EF4" w:rsidRDefault="00957D41">
            <w:pPr>
              <w:keepNext/>
              <w:keepLines/>
              <w:spacing w:after="0" w:line="240" w:lineRule="auto"/>
            </w:pPr>
            <w:r>
              <w:rPr>
                <w:b/>
                <w:sz w:val="18"/>
              </w:rPr>
              <w:t>X001</w:t>
            </w:r>
          </w:p>
        </w:tc>
        <w:tc>
          <w:tcPr>
            <w:tcW w:w="1860" w:type="dxa"/>
            <w:tcMar>
              <w:top w:w="0" w:type="dxa"/>
              <w:bottom w:w="0" w:type="dxa"/>
            </w:tcMar>
            <w:vAlign w:val="center"/>
          </w:tcPr>
          <w:p w14:paraId="2EC02544" w14:textId="77777777" w:rsidR="00D54EF4" w:rsidRDefault="00957D41">
            <w:pPr>
              <w:keepNext/>
              <w:keepLines/>
              <w:spacing w:after="0" w:line="240" w:lineRule="auto"/>
              <w:jc w:val="right"/>
            </w:pPr>
            <w:r>
              <w:rPr>
                <w:b/>
                <w:sz w:val="18"/>
              </w:rPr>
              <w:t>2.284.829,86</w:t>
            </w:r>
          </w:p>
        </w:tc>
        <w:tc>
          <w:tcPr>
            <w:tcW w:w="1860" w:type="dxa"/>
            <w:tcMar>
              <w:top w:w="0" w:type="dxa"/>
              <w:bottom w:w="0" w:type="dxa"/>
            </w:tcMar>
            <w:vAlign w:val="center"/>
          </w:tcPr>
          <w:p w14:paraId="1C627374" w14:textId="77777777" w:rsidR="00D54EF4" w:rsidRDefault="00957D41">
            <w:pPr>
              <w:keepNext/>
              <w:keepLines/>
              <w:spacing w:after="0" w:line="240" w:lineRule="auto"/>
              <w:jc w:val="right"/>
            </w:pPr>
            <w:r>
              <w:rPr>
                <w:b/>
                <w:sz w:val="18"/>
              </w:rPr>
              <w:t>4.531.656,83</w:t>
            </w:r>
          </w:p>
        </w:tc>
        <w:tc>
          <w:tcPr>
            <w:tcW w:w="700" w:type="dxa"/>
            <w:tcMar>
              <w:top w:w="0" w:type="dxa"/>
              <w:bottom w:w="0" w:type="dxa"/>
            </w:tcMar>
            <w:vAlign w:val="center"/>
          </w:tcPr>
          <w:p w14:paraId="07F3E324" w14:textId="77777777" w:rsidR="00D54EF4" w:rsidRDefault="00957D41">
            <w:pPr>
              <w:keepNext/>
              <w:keepLines/>
              <w:spacing w:after="0" w:line="240" w:lineRule="auto"/>
              <w:jc w:val="right"/>
            </w:pPr>
            <w:r>
              <w:rPr>
                <w:b/>
                <w:sz w:val="18"/>
              </w:rPr>
              <w:t>198,3</w:t>
            </w:r>
          </w:p>
        </w:tc>
      </w:tr>
      <w:tr w:rsidR="00D54EF4" w14:paraId="4D0DEC47" w14:textId="77777777">
        <w:trPr>
          <w:cantSplit/>
          <w:trHeight w:val="560"/>
        </w:trPr>
        <w:tc>
          <w:tcPr>
            <w:tcW w:w="700" w:type="dxa"/>
            <w:tcMar>
              <w:top w:w="0" w:type="dxa"/>
              <w:bottom w:w="0" w:type="dxa"/>
            </w:tcMar>
            <w:vAlign w:val="center"/>
          </w:tcPr>
          <w:p w14:paraId="47FD676B" w14:textId="77777777" w:rsidR="00D54EF4" w:rsidRDefault="00957D41">
            <w:pPr>
              <w:keepNext/>
              <w:keepLines/>
              <w:spacing w:after="0" w:line="240" w:lineRule="auto"/>
            </w:pPr>
            <w:r>
              <w:rPr>
                <w:sz w:val="18"/>
              </w:rPr>
              <w:t>7</w:t>
            </w:r>
          </w:p>
        </w:tc>
        <w:tc>
          <w:tcPr>
            <w:tcW w:w="3180" w:type="dxa"/>
            <w:tcMar>
              <w:top w:w="0" w:type="dxa"/>
              <w:bottom w:w="0" w:type="dxa"/>
            </w:tcMar>
            <w:vAlign w:val="center"/>
          </w:tcPr>
          <w:p w14:paraId="5F753C53" w14:textId="77777777" w:rsidR="00D54EF4" w:rsidRDefault="00957D4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F982ECB" w14:textId="77777777" w:rsidR="00D54EF4" w:rsidRDefault="00957D41">
            <w:pPr>
              <w:keepNext/>
              <w:keepLines/>
              <w:spacing w:after="0" w:line="240" w:lineRule="auto"/>
            </w:pPr>
            <w:r>
              <w:rPr>
                <w:sz w:val="18"/>
              </w:rPr>
              <w:t>7</w:t>
            </w:r>
          </w:p>
        </w:tc>
        <w:tc>
          <w:tcPr>
            <w:tcW w:w="1860" w:type="dxa"/>
            <w:tcMar>
              <w:top w:w="0" w:type="dxa"/>
              <w:bottom w:w="0" w:type="dxa"/>
            </w:tcMar>
            <w:vAlign w:val="center"/>
          </w:tcPr>
          <w:p w14:paraId="7C47F823"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7007411C" w14:textId="77777777" w:rsidR="00D54EF4" w:rsidRDefault="00957D41">
            <w:pPr>
              <w:keepNext/>
              <w:keepLines/>
              <w:spacing w:after="0" w:line="240" w:lineRule="auto"/>
              <w:jc w:val="right"/>
            </w:pPr>
            <w:r>
              <w:rPr>
                <w:sz w:val="18"/>
              </w:rPr>
              <w:t>0,00</w:t>
            </w:r>
          </w:p>
        </w:tc>
        <w:tc>
          <w:tcPr>
            <w:tcW w:w="700" w:type="dxa"/>
            <w:tcMar>
              <w:top w:w="0" w:type="dxa"/>
              <w:bottom w:w="0" w:type="dxa"/>
            </w:tcMar>
            <w:vAlign w:val="center"/>
          </w:tcPr>
          <w:p w14:paraId="6159CCAD" w14:textId="77777777" w:rsidR="00D54EF4" w:rsidRDefault="00957D41">
            <w:pPr>
              <w:keepNext/>
              <w:keepLines/>
              <w:spacing w:after="0" w:line="240" w:lineRule="auto"/>
              <w:jc w:val="right"/>
            </w:pPr>
            <w:r>
              <w:rPr>
                <w:sz w:val="18"/>
              </w:rPr>
              <w:t>-</w:t>
            </w:r>
          </w:p>
        </w:tc>
      </w:tr>
      <w:tr w:rsidR="00D54EF4" w14:paraId="7324F5E3" w14:textId="77777777">
        <w:trPr>
          <w:cantSplit/>
          <w:trHeight w:val="560"/>
        </w:trPr>
        <w:tc>
          <w:tcPr>
            <w:tcW w:w="700" w:type="dxa"/>
            <w:tcMar>
              <w:top w:w="0" w:type="dxa"/>
              <w:bottom w:w="0" w:type="dxa"/>
            </w:tcMar>
            <w:vAlign w:val="center"/>
          </w:tcPr>
          <w:p w14:paraId="2A2E3B0F" w14:textId="77777777" w:rsidR="00D54EF4" w:rsidRDefault="00957D41">
            <w:pPr>
              <w:keepNext/>
              <w:keepLines/>
              <w:spacing w:after="0" w:line="240" w:lineRule="auto"/>
            </w:pPr>
            <w:r>
              <w:rPr>
                <w:sz w:val="18"/>
              </w:rPr>
              <w:t>4</w:t>
            </w:r>
          </w:p>
        </w:tc>
        <w:tc>
          <w:tcPr>
            <w:tcW w:w="3180" w:type="dxa"/>
            <w:tcMar>
              <w:top w:w="0" w:type="dxa"/>
              <w:bottom w:w="0" w:type="dxa"/>
            </w:tcMar>
            <w:vAlign w:val="center"/>
          </w:tcPr>
          <w:p w14:paraId="4A9C6B11" w14:textId="77777777" w:rsidR="00D54EF4" w:rsidRDefault="00957D4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DC442FD" w14:textId="77777777" w:rsidR="00D54EF4" w:rsidRDefault="00957D41">
            <w:pPr>
              <w:keepNext/>
              <w:keepLines/>
              <w:spacing w:after="0" w:line="240" w:lineRule="auto"/>
            </w:pPr>
            <w:r>
              <w:rPr>
                <w:sz w:val="18"/>
              </w:rPr>
              <w:t>4</w:t>
            </w:r>
          </w:p>
        </w:tc>
        <w:tc>
          <w:tcPr>
            <w:tcW w:w="1860" w:type="dxa"/>
            <w:tcMar>
              <w:top w:w="0" w:type="dxa"/>
              <w:bottom w:w="0" w:type="dxa"/>
            </w:tcMar>
            <w:vAlign w:val="center"/>
          </w:tcPr>
          <w:p w14:paraId="1D4ADF9F" w14:textId="77777777" w:rsidR="00D54EF4" w:rsidRDefault="00957D41">
            <w:pPr>
              <w:keepNext/>
              <w:keepLines/>
              <w:spacing w:after="0" w:line="240" w:lineRule="auto"/>
              <w:jc w:val="right"/>
            </w:pPr>
            <w:r>
              <w:rPr>
                <w:sz w:val="18"/>
              </w:rPr>
              <w:t>2.306.974,34</w:t>
            </w:r>
          </w:p>
        </w:tc>
        <w:tc>
          <w:tcPr>
            <w:tcW w:w="1860" w:type="dxa"/>
            <w:tcMar>
              <w:top w:w="0" w:type="dxa"/>
              <w:bottom w:w="0" w:type="dxa"/>
            </w:tcMar>
            <w:vAlign w:val="center"/>
          </w:tcPr>
          <w:p w14:paraId="5C71860A" w14:textId="77777777" w:rsidR="00D54EF4" w:rsidRDefault="00957D41">
            <w:pPr>
              <w:keepNext/>
              <w:keepLines/>
              <w:spacing w:after="0" w:line="240" w:lineRule="auto"/>
              <w:jc w:val="right"/>
            </w:pPr>
            <w:r>
              <w:rPr>
                <w:sz w:val="18"/>
              </w:rPr>
              <w:t>4.679.580,76</w:t>
            </w:r>
          </w:p>
        </w:tc>
        <w:tc>
          <w:tcPr>
            <w:tcW w:w="700" w:type="dxa"/>
            <w:tcMar>
              <w:top w:w="0" w:type="dxa"/>
              <w:bottom w:w="0" w:type="dxa"/>
            </w:tcMar>
            <w:vAlign w:val="center"/>
          </w:tcPr>
          <w:p w14:paraId="0A301F14" w14:textId="77777777" w:rsidR="00D54EF4" w:rsidRDefault="00957D41">
            <w:pPr>
              <w:keepNext/>
              <w:keepLines/>
              <w:spacing w:after="0" w:line="240" w:lineRule="auto"/>
              <w:jc w:val="right"/>
            </w:pPr>
            <w:r>
              <w:rPr>
                <w:sz w:val="18"/>
              </w:rPr>
              <w:t>202,8</w:t>
            </w:r>
          </w:p>
        </w:tc>
      </w:tr>
      <w:tr w:rsidR="00D54EF4" w14:paraId="0F23C32D" w14:textId="77777777">
        <w:trPr>
          <w:cantSplit/>
          <w:trHeight w:val="560"/>
        </w:trPr>
        <w:tc>
          <w:tcPr>
            <w:tcW w:w="700" w:type="dxa"/>
            <w:tcMar>
              <w:top w:w="0" w:type="dxa"/>
              <w:bottom w:w="0" w:type="dxa"/>
            </w:tcMar>
            <w:vAlign w:val="center"/>
          </w:tcPr>
          <w:p w14:paraId="6BFA0B6F" w14:textId="77777777" w:rsidR="00D54EF4" w:rsidRDefault="00D54EF4">
            <w:pPr>
              <w:keepNext/>
              <w:keepLines/>
              <w:spacing w:after="0" w:line="240" w:lineRule="auto"/>
            </w:pPr>
          </w:p>
        </w:tc>
        <w:tc>
          <w:tcPr>
            <w:tcW w:w="3180" w:type="dxa"/>
            <w:tcMar>
              <w:top w:w="0" w:type="dxa"/>
              <w:bottom w:w="0" w:type="dxa"/>
            </w:tcMar>
            <w:vAlign w:val="center"/>
          </w:tcPr>
          <w:p w14:paraId="729598D5" w14:textId="77777777" w:rsidR="00D54EF4" w:rsidRDefault="00957D41">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01518CA" w14:textId="77777777" w:rsidR="00D54EF4" w:rsidRDefault="00957D41">
            <w:pPr>
              <w:keepNext/>
              <w:keepLines/>
              <w:spacing w:after="0" w:line="240" w:lineRule="auto"/>
            </w:pPr>
            <w:r>
              <w:rPr>
                <w:b/>
                <w:sz w:val="18"/>
              </w:rPr>
              <w:t>Y002</w:t>
            </w:r>
          </w:p>
        </w:tc>
        <w:tc>
          <w:tcPr>
            <w:tcW w:w="1860" w:type="dxa"/>
            <w:tcMar>
              <w:top w:w="0" w:type="dxa"/>
              <w:bottom w:w="0" w:type="dxa"/>
            </w:tcMar>
            <w:vAlign w:val="center"/>
          </w:tcPr>
          <w:p w14:paraId="7464EF7F" w14:textId="77777777" w:rsidR="00D54EF4" w:rsidRDefault="00957D41">
            <w:pPr>
              <w:keepNext/>
              <w:keepLines/>
              <w:spacing w:after="0" w:line="240" w:lineRule="auto"/>
              <w:jc w:val="right"/>
            </w:pPr>
            <w:r>
              <w:rPr>
                <w:b/>
                <w:sz w:val="18"/>
              </w:rPr>
              <w:t>2.306.974,34</w:t>
            </w:r>
          </w:p>
        </w:tc>
        <w:tc>
          <w:tcPr>
            <w:tcW w:w="1860" w:type="dxa"/>
            <w:tcMar>
              <w:top w:w="0" w:type="dxa"/>
              <w:bottom w:w="0" w:type="dxa"/>
            </w:tcMar>
            <w:vAlign w:val="center"/>
          </w:tcPr>
          <w:p w14:paraId="5F44CD8D" w14:textId="77777777" w:rsidR="00D54EF4" w:rsidRDefault="00957D41">
            <w:pPr>
              <w:keepNext/>
              <w:keepLines/>
              <w:spacing w:after="0" w:line="240" w:lineRule="auto"/>
              <w:jc w:val="right"/>
            </w:pPr>
            <w:r>
              <w:rPr>
                <w:b/>
                <w:sz w:val="18"/>
              </w:rPr>
              <w:t>4.679.580,76</w:t>
            </w:r>
          </w:p>
        </w:tc>
        <w:tc>
          <w:tcPr>
            <w:tcW w:w="700" w:type="dxa"/>
            <w:tcMar>
              <w:top w:w="0" w:type="dxa"/>
              <w:bottom w:w="0" w:type="dxa"/>
            </w:tcMar>
            <w:vAlign w:val="center"/>
          </w:tcPr>
          <w:p w14:paraId="6D8E8225" w14:textId="77777777" w:rsidR="00D54EF4" w:rsidRDefault="00957D41">
            <w:pPr>
              <w:keepNext/>
              <w:keepLines/>
              <w:spacing w:after="0" w:line="240" w:lineRule="auto"/>
              <w:jc w:val="right"/>
            </w:pPr>
            <w:r>
              <w:rPr>
                <w:b/>
                <w:sz w:val="18"/>
              </w:rPr>
              <w:t>202,8</w:t>
            </w:r>
          </w:p>
        </w:tc>
      </w:tr>
      <w:tr w:rsidR="00D54EF4" w14:paraId="2A8184CA" w14:textId="77777777">
        <w:trPr>
          <w:cantSplit/>
          <w:trHeight w:val="560"/>
        </w:trPr>
        <w:tc>
          <w:tcPr>
            <w:tcW w:w="700" w:type="dxa"/>
            <w:tcMar>
              <w:top w:w="0" w:type="dxa"/>
              <w:bottom w:w="0" w:type="dxa"/>
            </w:tcMar>
            <w:vAlign w:val="center"/>
          </w:tcPr>
          <w:p w14:paraId="6A034107" w14:textId="77777777" w:rsidR="00D54EF4" w:rsidRDefault="00957D41">
            <w:pPr>
              <w:keepNext/>
              <w:keepLines/>
              <w:spacing w:after="0" w:line="240" w:lineRule="auto"/>
            </w:pPr>
            <w:r>
              <w:rPr>
                <w:sz w:val="18"/>
              </w:rPr>
              <w:t>8</w:t>
            </w:r>
          </w:p>
        </w:tc>
        <w:tc>
          <w:tcPr>
            <w:tcW w:w="3180" w:type="dxa"/>
            <w:tcMar>
              <w:top w:w="0" w:type="dxa"/>
              <w:bottom w:w="0" w:type="dxa"/>
            </w:tcMar>
            <w:vAlign w:val="center"/>
          </w:tcPr>
          <w:p w14:paraId="19E2A5C7" w14:textId="77777777" w:rsidR="00D54EF4" w:rsidRDefault="00957D4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6FE7CEA" w14:textId="77777777" w:rsidR="00D54EF4" w:rsidRDefault="00957D41">
            <w:pPr>
              <w:keepNext/>
              <w:keepLines/>
              <w:spacing w:after="0" w:line="240" w:lineRule="auto"/>
            </w:pPr>
            <w:r>
              <w:rPr>
                <w:sz w:val="18"/>
              </w:rPr>
              <w:t>8</w:t>
            </w:r>
          </w:p>
        </w:tc>
        <w:tc>
          <w:tcPr>
            <w:tcW w:w="1860" w:type="dxa"/>
            <w:tcMar>
              <w:top w:w="0" w:type="dxa"/>
              <w:bottom w:w="0" w:type="dxa"/>
            </w:tcMar>
            <w:vAlign w:val="center"/>
          </w:tcPr>
          <w:p w14:paraId="0C0AEAA3"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19D82996" w14:textId="77777777" w:rsidR="00D54EF4" w:rsidRDefault="00957D41">
            <w:pPr>
              <w:keepNext/>
              <w:keepLines/>
              <w:spacing w:after="0" w:line="240" w:lineRule="auto"/>
              <w:jc w:val="right"/>
            </w:pPr>
            <w:r>
              <w:rPr>
                <w:sz w:val="18"/>
              </w:rPr>
              <w:t>0,00</w:t>
            </w:r>
          </w:p>
        </w:tc>
        <w:tc>
          <w:tcPr>
            <w:tcW w:w="700" w:type="dxa"/>
            <w:tcMar>
              <w:top w:w="0" w:type="dxa"/>
              <w:bottom w:w="0" w:type="dxa"/>
            </w:tcMar>
            <w:vAlign w:val="center"/>
          </w:tcPr>
          <w:p w14:paraId="14C02614" w14:textId="77777777" w:rsidR="00D54EF4" w:rsidRDefault="00957D41">
            <w:pPr>
              <w:keepNext/>
              <w:keepLines/>
              <w:spacing w:after="0" w:line="240" w:lineRule="auto"/>
              <w:jc w:val="right"/>
            </w:pPr>
            <w:r>
              <w:rPr>
                <w:sz w:val="18"/>
              </w:rPr>
              <w:t>-</w:t>
            </w:r>
          </w:p>
        </w:tc>
      </w:tr>
      <w:tr w:rsidR="00D54EF4" w14:paraId="6F98D8D6" w14:textId="77777777">
        <w:trPr>
          <w:cantSplit/>
          <w:trHeight w:val="560"/>
        </w:trPr>
        <w:tc>
          <w:tcPr>
            <w:tcW w:w="700" w:type="dxa"/>
            <w:tcMar>
              <w:top w:w="0" w:type="dxa"/>
              <w:bottom w:w="0" w:type="dxa"/>
            </w:tcMar>
            <w:vAlign w:val="center"/>
          </w:tcPr>
          <w:p w14:paraId="45D003B6" w14:textId="77777777" w:rsidR="00D54EF4" w:rsidRDefault="00957D41">
            <w:pPr>
              <w:keepNext/>
              <w:keepLines/>
              <w:spacing w:after="0" w:line="240" w:lineRule="auto"/>
            </w:pPr>
            <w:r>
              <w:rPr>
                <w:sz w:val="18"/>
              </w:rPr>
              <w:t>5</w:t>
            </w:r>
          </w:p>
        </w:tc>
        <w:tc>
          <w:tcPr>
            <w:tcW w:w="3180" w:type="dxa"/>
            <w:tcMar>
              <w:top w:w="0" w:type="dxa"/>
              <w:bottom w:w="0" w:type="dxa"/>
            </w:tcMar>
            <w:vAlign w:val="center"/>
          </w:tcPr>
          <w:p w14:paraId="582B3E26" w14:textId="77777777" w:rsidR="00D54EF4" w:rsidRDefault="00957D4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DFC1A44" w14:textId="77777777" w:rsidR="00D54EF4" w:rsidRDefault="00957D41">
            <w:pPr>
              <w:keepNext/>
              <w:keepLines/>
              <w:spacing w:after="0" w:line="240" w:lineRule="auto"/>
            </w:pPr>
            <w:r>
              <w:rPr>
                <w:sz w:val="18"/>
              </w:rPr>
              <w:t>5</w:t>
            </w:r>
          </w:p>
        </w:tc>
        <w:tc>
          <w:tcPr>
            <w:tcW w:w="1860" w:type="dxa"/>
            <w:tcMar>
              <w:top w:w="0" w:type="dxa"/>
              <w:bottom w:w="0" w:type="dxa"/>
            </w:tcMar>
            <w:vAlign w:val="center"/>
          </w:tcPr>
          <w:p w14:paraId="1B8849BE"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5681C9DA" w14:textId="77777777" w:rsidR="00D54EF4" w:rsidRDefault="00957D41">
            <w:pPr>
              <w:keepNext/>
              <w:keepLines/>
              <w:spacing w:after="0" w:line="240" w:lineRule="auto"/>
              <w:jc w:val="right"/>
            </w:pPr>
            <w:r>
              <w:rPr>
                <w:sz w:val="18"/>
              </w:rPr>
              <w:t>0,00</w:t>
            </w:r>
          </w:p>
        </w:tc>
        <w:tc>
          <w:tcPr>
            <w:tcW w:w="700" w:type="dxa"/>
            <w:tcMar>
              <w:top w:w="0" w:type="dxa"/>
              <w:bottom w:w="0" w:type="dxa"/>
            </w:tcMar>
            <w:vAlign w:val="center"/>
          </w:tcPr>
          <w:p w14:paraId="4C298324" w14:textId="77777777" w:rsidR="00D54EF4" w:rsidRDefault="00957D41">
            <w:pPr>
              <w:keepNext/>
              <w:keepLines/>
              <w:spacing w:after="0" w:line="240" w:lineRule="auto"/>
              <w:jc w:val="right"/>
            </w:pPr>
            <w:r>
              <w:rPr>
                <w:sz w:val="18"/>
              </w:rPr>
              <w:t>-</w:t>
            </w:r>
          </w:p>
        </w:tc>
      </w:tr>
      <w:tr w:rsidR="00D54EF4" w14:paraId="7BC6D996" w14:textId="77777777">
        <w:trPr>
          <w:cantSplit/>
          <w:trHeight w:val="560"/>
        </w:trPr>
        <w:tc>
          <w:tcPr>
            <w:tcW w:w="700" w:type="dxa"/>
            <w:tcMar>
              <w:top w:w="0" w:type="dxa"/>
              <w:bottom w:w="0" w:type="dxa"/>
            </w:tcMar>
            <w:vAlign w:val="center"/>
          </w:tcPr>
          <w:p w14:paraId="55C38500" w14:textId="77777777" w:rsidR="00D54EF4" w:rsidRDefault="00D54EF4">
            <w:pPr>
              <w:keepNext/>
              <w:keepLines/>
              <w:spacing w:after="0" w:line="240" w:lineRule="auto"/>
            </w:pPr>
          </w:p>
        </w:tc>
        <w:tc>
          <w:tcPr>
            <w:tcW w:w="3180" w:type="dxa"/>
            <w:tcMar>
              <w:top w:w="0" w:type="dxa"/>
              <w:bottom w:w="0" w:type="dxa"/>
            </w:tcMar>
            <w:vAlign w:val="center"/>
          </w:tcPr>
          <w:p w14:paraId="48D22332" w14:textId="77777777" w:rsidR="00D54EF4" w:rsidRDefault="00957D4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09D18F8" w14:textId="77777777" w:rsidR="00D54EF4" w:rsidRDefault="00957D41">
            <w:pPr>
              <w:keepNext/>
              <w:keepLines/>
              <w:spacing w:after="0" w:line="240" w:lineRule="auto"/>
            </w:pPr>
            <w:r>
              <w:rPr>
                <w:b/>
                <w:sz w:val="18"/>
              </w:rPr>
              <w:t>X003, Y003</w:t>
            </w:r>
          </w:p>
        </w:tc>
        <w:tc>
          <w:tcPr>
            <w:tcW w:w="1860" w:type="dxa"/>
            <w:tcMar>
              <w:top w:w="0" w:type="dxa"/>
              <w:bottom w:w="0" w:type="dxa"/>
            </w:tcMar>
            <w:vAlign w:val="center"/>
          </w:tcPr>
          <w:p w14:paraId="65D3B9D5" w14:textId="77777777" w:rsidR="00D54EF4" w:rsidRDefault="00957D41">
            <w:pPr>
              <w:keepNext/>
              <w:keepLines/>
              <w:spacing w:after="0" w:line="240" w:lineRule="auto"/>
              <w:jc w:val="right"/>
            </w:pPr>
            <w:r>
              <w:rPr>
                <w:b/>
                <w:sz w:val="18"/>
              </w:rPr>
              <w:t>0,00</w:t>
            </w:r>
          </w:p>
        </w:tc>
        <w:tc>
          <w:tcPr>
            <w:tcW w:w="1860" w:type="dxa"/>
            <w:tcMar>
              <w:top w:w="0" w:type="dxa"/>
              <w:bottom w:w="0" w:type="dxa"/>
            </w:tcMar>
            <w:vAlign w:val="center"/>
          </w:tcPr>
          <w:p w14:paraId="068D151F" w14:textId="77777777" w:rsidR="00D54EF4" w:rsidRDefault="00957D41">
            <w:pPr>
              <w:keepNext/>
              <w:keepLines/>
              <w:spacing w:after="0" w:line="240" w:lineRule="auto"/>
              <w:jc w:val="right"/>
            </w:pPr>
            <w:r>
              <w:rPr>
                <w:b/>
                <w:sz w:val="18"/>
              </w:rPr>
              <w:t>0,00</w:t>
            </w:r>
          </w:p>
        </w:tc>
        <w:tc>
          <w:tcPr>
            <w:tcW w:w="700" w:type="dxa"/>
            <w:tcMar>
              <w:top w:w="0" w:type="dxa"/>
              <w:bottom w:w="0" w:type="dxa"/>
            </w:tcMar>
            <w:vAlign w:val="center"/>
          </w:tcPr>
          <w:p w14:paraId="6D6FF996" w14:textId="77777777" w:rsidR="00D54EF4" w:rsidRDefault="00957D41">
            <w:pPr>
              <w:keepNext/>
              <w:keepLines/>
              <w:spacing w:after="0" w:line="240" w:lineRule="auto"/>
              <w:jc w:val="right"/>
            </w:pPr>
            <w:r>
              <w:rPr>
                <w:b/>
                <w:sz w:val="18"/>
              </w:rPr>
              <w:t>-</w:t>
            </w:r>
          </w:p>
        </w:tc>
      </w:tr>
      <w:tr w:rsidR="00D54EF4" w14:paraId="098FDA9B" w14:textId="77777777">
        <w:trPr>
          <w:cantSplit/>
          <w:trHeight w:val="560"/>
        </w:trPr>
        <w:tc>
          <w:tcPr>
            <w:tcW w:w="700" w:type="dxa"/>
            <w:tcMar>
              <w:top w:w="0" w:type="dxa"/>
              <w:bottom w:w="0" w:type="dxa"/>
            </w:tcMar>
            <w:vAlign w:val="center"/>
          </w:tcPr>
          <w:p w14:paraId="1696577D" w14:textId="77777777" w:rsidR="00D54EF4" w:rsidRDefault="00D54EF4">
            <w:pPr>
              <w:keepNext/>
              <w:keepLines/>
              <w:spacing w:after="0" w:line="240" w:lineRule="auto"/>
            </w:pPr>
          </w:p>
        </w:tc>
        <w:tc>
          <w:tcPr>
            <w:tcW w:w="3180" w:type="dxa"/>
            <w:tcMar>
              <w:top w:w="0" w:type="dxa"/>
              <w:bottom w:w="0" w:type="dxa"/>
            </w:tcMar>
            <w:vAlign w:val="center"/>
          </w:tcPr>
          <w:p w14:paraId="20A723F7" w14:textId="77777777" w:rsidR="00D54EF4" w:rsidRDefault="00957D41">
            <w:pPr>
              <w:keepNext/>
              <w:keepLines/>
              <w:spacing w:after="0" w:line="240" w:lineRule="auto"/>
            </w:pPr>
            <w:r>
              <w:rPr>
                <w:b/>
                <w:sz w:val="18"/>
              </w:rPr>
              <w:t>MANJAK PRIHODA I PRIMITAKA (šifre Y345-X678)</w:t>
            </w:r>
          </w:p>
        </w:tc>
        <w:tc>
          <w:tcPr>
            <w:tcW w:w="700" w:type="dxa"/>
            <w:tcMar>
              <w:top w:w="0" w:type="dxa"/>
              <w:bottom w:w="0" w:type="dxa"/>
            </w:tcMar>
            <w:vAlign w:val="center"/>
          </w:tcPr>
          <w:p w14:paraId="471B6E22" w14:textId="77777777" w:rsidR="00D54EF4" w:rsidRDefault="00957D41">
            <w:pPr>
              <w:keepNext/>
              <w:keepLines/>
              <w:spacing w:after="0" w:line="240" w:lineRule="auto"/>
            </w:pPr>
            <w:r>
              <w:rPr>
                <w:b/>
                <w:sz w:val="18"/>
              </w:rPr>
              <w:t>Y005</w:t>
            </w:r>
          </w:p>
        </w:tc>
        <w:tc>
          <w:tcPr>
            <w:tcW w:w="1860" w:type="dxa"/>
            <w:tcMar>
              <w:top w:w="0" w:type="dxa"/>
              <w:bottom w:w="0" w:type="dxa"/>
            </w:tcMar>
            <w:vAlign w:val="center"/>
          </w:tcPr>
          <w:p w14:paraId="025CD90F" w14:textId="77777777" w:rsidR="00D54EF4" w:rsidRDefault="00957D41">
            <w:pPr>
              <w:keepNext/>
              <w:keepLines/>
              <w:spacing w:after="0" w:line="240" w:lineRule="auto"/>
              <w:jc w:val="right"/>
            </w:pPr>
            <w:r>
              <w:rPr>
                <w:b/>
                <w:sz w:val="18"/>
              </w:rPr>
              <w:t>22.144,48</w:t>
            </w:r>
          </w:p>
        </w:tc>
        <w:tc>
          <w:tcPr>
            <w:tcW w:w="1860" w:type="dxa"/>
            <w:tcMar>
              <w:top w:w="0" w:type="dxa"/>
              <w:bottom w:w="0" w:type="dxa"/>
            </w:tcMar>
            <w:vAlign w:val="center"/>
          </w:tcPr>
          <w:p w14:paraId="3EFFCB99" w14:textId="77777777" w:rsidR="00D54EF4" w:rsidRDefault="00957D41">
            <w:pPr>
              <w:keepNext/>
              <w:keepLines/>
              <w:spacing w:after="0" w:line="240" w:lineRule="auto"/>
              <w:jc w:val="right"/>
            </w:pPr>
            <w:r>
              <w:rPr>
                <w:b/>
                <w:sz w:val="18"/>
              </w:rPr>
              <w:t>147.923,93</w:t>
            </w:r>
          </w:p>
        </w:tc>
        <w:tc>
          <w:tcPr>
            <w:tcW w:w="700" w:type="dxa"/>
            <w:tcMar>
              <w:top w:w="0" w:type="dxa"/>
              <w:bottom w:w="0" w:type="dxa"/>
            </w:tcMar>
            <w:vAlign w:val="center"/>
          </w:tcPr>
          <w:p w14:paraId="76327A6F" w14:textId="77777777" w:rsidR="00D54EF4" w:rsidRDefault="00957D41">
            <w:pPr>
              <w:keepNext/>
              <w:keepLines/>
              <w:spacing w:after="0" w:line="240" w:lineRule="auto"/>
              <w:jc w:val="right"/>
            </w:pPr>
            <w:r>
              <w:rPr>
                <w:b/>
                <w:sz w:val="18"/>
              </w:rPr>
              <w:t>668,0</w:t>
            </w:r>
          </w:p>
        </w:tc>
      </w:tr>
    </w:tbl>
    <w:p w14:paraId="6EC21D89" w14:textId="77777777" w:rsidR="00D54EF4" w:rsidRDefault="00D54EF4">
      <w:pPr>
        <w:spacing w:after="0"/>
      </w:pPr>
    </w:p>
    <w:p w14:paraId="54A6A377" w14:textId="17D9DF07" w:rsidR="00957D41" w:rsidRDefault="00957D41" w:rsidP="00957D41">
      <w:pPr>
        <w:jc w:val="both"/>
      </w:pPr>
      <w:r>
        <w:t xml:space="preserve">U izvještajnom razdoblju Lučka uprava Vukovar ima 45% veće prihode poslovanja te 12% manje rashode poslovanja u odnosu na isto razdoblje prethodne godine. Ostvaren je višak prihoda poslovanja u iznosu od 4.531.656,83 eura dok je u istom razdoblju prethodne godine višak iznosio 2.284.829,86 eura. Došlo je do značajnog povećanja rashoda za nabavu nefinancijske imovine koji iznose 4.679.580,76 eura u odnosu na isto razdoblje prethodne godine kada su iznosili 2.306.974,34 eura. Najveći dio navedenih rashoda financiran je od </w:t>
      </w:r>
      <w:r>
        <w:lastRenderedPageBreak/>
        <w:t>prihoda iz nadležnog proračuna za financiranje rashoda za nabavu nefinancijske imovine (ukupno 4.523.023,16) za projekte građenja i modernizacije na lučkom području i njihovu realizaciju u izvještajnom razdoblju. Sukladno navedenom, ukupni rezultat iskazuje manjak prihoda i primitaka u iznosu od 147.923,93 eura.</w:t>
      </w:r>
    </w:p>
    <w:p w14:paraId="72589948" w14:textId="77777777" w:rsidR="00957D41" w:rsidRDefault="00957D41" w:rsidP="00957D41">
      <w:pPr>
        <w:jc w:val="both"/>
      </w:pPr>
    </w:p>
    <w:p w14:paraId="64867C71" w14:textId="77777777" w:rsidR="00D54EF4" w:rsidRDefault="00957D4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614E84E0" w14:textId="77777777">
        <w:trPr>
          <w:cantSplit/>
        </w:trPr>
        <w:tc>
          <w:tcPr>
            <w:tcW w:w="700" w:type="dxa"/>
            <w:shd w:val="clear" w:color="auto" w:fill="E7F0F9"/>
            <w:tcMar>
              <w:top w:w="0" w:type="dxa"/>
              <w:bottom w:w="0" w:type="dxa"/>
            </w:tcMar>
            <w:vAlign w:val="center"/>
          </w:tcPr>
          <w:p w14:paraId="1660E3BA"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0D26E5"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99EE3D"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58C34"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F06C0C"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6DFB4D" w14:textId="77777777" w:rsidR="00D54EF4" w:rsidRDefault="00957D41">
            <w:pPr>
              <w:keepNext/>
              <w:keepLines/>
              <w:spacing w:after="0" w:line="240" w:lineRule="auto"/>
              <w:jc w:val="center"/>
            </w:pPr>
            <w:r>
              <w:rPr>
                <w:b/>
                <w:sz w:val="18"/>
              </w:rPr>
              <w:t>Indeks (%)</w:t>
            </w:r>
          </w:p>
        </w:tc>
      </w:tr>
      <w:tr w:rsidR="00D54EF4" w14:paraId="31932EAA" w14:textId="77777777">
        <w:trPr>
          <w:cantSplit/>
          <w:trHeight w:val="560"/>
        </w:trPr>
        <w:tc>
          <w:tcPr>
            <w:tcW w:w="700" w:type="dxa"/>
            <w:tcMar>
              <w:top w:w="0" w:type="dxa"/>
              <w:bottom w:w="0" w:type="dxa"/>
            </w:tcMar>
            <w:vAlign w:val="center"/>
          </w:tcPr>
          <w:p w14:paraId="1C4C5F4B" w14:textId="77777777" w:rsidR="00D54EF4" w:rsidRDefault="00957D41">
            <w:pPr>
              <w:keepNext/>
              <w:keepLines/>
              <w:spacing w:after="0" w:line="240" w:lineRule="auto"/>
            </w:pPr>
            <w:r>
              <w:rPr>
                <w:sz w:val="18"/>
              </w:rPr>
              <w:t>63</w:t>
            </w:r>
          </w:p>
        </w:tc>
        <w:tc>
          <w:tcPr>
            <w:tcW w:w="3180" w:type="dxa"/>
            <w:tcMar>
              <w:top w:w="0" w:type="dxa"/>
              <w:bottom w:w="0" w:type="dxa"/>
            </w:tcMar>
            <w:vAlign w:val="center"/>
          </w:tcPr>
          <w:p w14:paraId="38F07286" w14:textId="77777777" w:rsidR="00D54EF4" w:rsidRDefault="00957D41">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B6653F2" w14:textId="77777777" w:rsidR="00D54EF4" w:rsidRDefault="00957D41">
            <w:pPr>
              <w:keepNext/>
              <w:keepLines/>
              <w:spacing w:after="0" w:line="240" w:lineRule="auto"/>
            </w:pPr>
            <w:r>
              <w:rPr>
                <w:sz w:val="18"/>
              </w:rPr>
              <w:t>63</w:t>
            </w:r>
          </w:p>
        </w:tc>
        <w:tc>
          <w:tcPr>
            <w:tcW w:w="1860" w:type="dxa"/>
            <w:tcMar>
              <w:top w:w="0" w:type="dxa"/>
              <w:bottom w:w="0" w:type="dxa"/>
            </w:tcMar>
            <w:vAlign w:val="center"/>
          </w:tcPr>
          <w:p w14:paraId="1FAF5FE1" w14:textId="77777777" w:rsidR="00D54EF4" w:rsidRDefault="00957D41">
            <w:pPr>
              <w:keepNext/>
              <w:keepLines/>
              <w:spacing w:after="0" w:line="240" w:lineRule="auto"/>
              <w:jc w:val="right"/>
            </w:pPr>
            <w:r>
              <w:rPr>
                <w:sz w:val="18"/>
              </w:rPr>
              <w:t>74.229,37</w:t>
            </w:r>
          </w:p>
        </w:tc>
        <w:tc>
          <w:tcPr>
            <w:tcW w:w="1860" w:type="dxa"/>
            <w:tcMar>
              <w:top w:w="0" w:type="dxa"/>
              <w:bottom w:w="0" w:type="dxa"/>
            </w:tcMar>
            <w:vAlign w:val="center"/>
          </w:tcPr>
          <w:p w14:paraId="25FE030C" w14:textId="77777777" w:rsidR="00D54EF4" w:rsidRDefault="00957D41">
            <w:pPr>
              <w:keepNext/>
              <w:keepLines/>
              <w:spacing w:after="0" w:line="240" w:lineRule="auto"/>
              <w:jc w:val="right"/>
            </w:pPr>
            <w:r>
              <w:rPr>
                <w:sz w:val="18"/>
              </w:rPr>
              <w:t>16.194,69</w:t>
            </w:r>
          </w:p>
        </w:tc>
        <w:tc>
          <w:tcPr>
            <w:tcW w:w="700" w:type="dxa"/>
            <w:tcMar>
              <w:top w:w="0" w:type="dxa"/>
              <w:bottom w:w="0" w:type="dxa"/>
            </w:tcMar>
            <w:vAlign w:val="center"/>
          </w:tcPr>
          <w:p w14:paraId="1CC7A1B4" w14:textId="77777777" w:rsidR="00D54EF4" w:rsidRDefault="00957D41">
            <w:pPr>
              <w:keepNext/>
              <w:keepLines/>
              <w:spacing w:after="0" w:line="240" w:lineRule="auto"/>
              <w:jc w:val="right"/>
            </w:pPr>
            <w:r>
              <w:rPr>
                <w:sz w:val="18"/>
              </w:rPr>
              <w:t>21,8</w:t>
            </w:r>
          </w:p>
        </w:tc>
      </w:tr>
    </w:tbl>
    <w:p w14:paraId="7671F30A" w14:textId="77777777" w:rsidR="00D54EF4" w:rsidRDefault="00D54EF4">
      <w:pPr>
        <w:spacing w:after="0"/>
      </w:pPr>
    </w:p>
    <w:p w14:paraId="0C85CB2F" w14:textId="77777777" w:rsidR="00D54EF4" w:rsidRDefault="00957D41" w:rsidP="00957D41">
      <w:pPr>
        <w:jc w:val="both"/>
      </w:pPr>
      <w:r>
        <w:t>U izvještajnom razdoblju ostvarene su kapitalne pomoći temeljem prijenosa EU sredstava u iznosu od 16.194,69 eura uplaćene od strane Vukovarsko-srijemske županije kao nositelja projekta Interreg „IPA CBC Hrvatska-Srbija – Intervencije na Dunavu“ (program prekogranične suradnje) u kojem je Lučka uprava Vukovar partner, a temeljem predanih i odobrenih ZNS-ova za nastale troškove. </w:t>
      </w:r>
    </w:p>
    <w:p w14:paraId="03D089FE" w14:textId="77777777" w:rsidR="00D54EF4" w:rsidRDefault="00D54EF4"/>
    <w:p w14:paraId="724A866C" w14:textId="77777777" w:rsidR="00D54EF4" w:rsidRDefault="00957D4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0BC0F773" w14:textId="77777777">
        <w:trPr>
          <w:cantSplit/>
        </w:trPr>
        <w:tc>
          <w:tcPr>
            <w:tcW w:w="700" w:type="dxa"/>
            <w:shd w:val="clear" w:color="auto" w:fill="E7F0F9"/>
            <w:tcMar>
              <w:top w:w="0" w:type="dxa"/>
              <w:bottom w:w="0" w:type="dxa"/>
            </w:tcMar>
            <w:vAlign w:val="center"/>
          </w:tcPr>
          <w:p w14:paraId="3013E36F"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08D918"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D10F0"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F88E7"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33C4DB"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3F594" w14:textId="77777777" w:rsidR="00D54EF4" w:rsidRDefault="00957D41">
            <w:pPr>
              <w:keepNext/>
              <w:keepLines/>
              <w:spacing w:after="0" w:line="240" w:lineRule="auto"/>
              <w:jc w:val="center"/>
            </w:pPr>
            <w:r>
              <w:rPr>
                <w:b/>
                <w:sz w:val="18"/>
              </w:rPr>
              <w:t>Indeks (%)</w:t>
            </w:r>
          </w:p>
        </w:tc>
      </w:tr>
      <w:tr w:rsidR="00D54EF4" w14:paraId="5DE807BA" w14:textId="77777777">
        <w:trPr>
          <w:cantSplit/>
          <w:trHeight w:val="560"/>
        </w:trPr>
        <w:tc>
          <w:tcPr>
            <w:tcW w:w="700" w:type="dxa"/>
            <w:tcMar>
              <w:top w:w="0" w:type="dxa"/>
              <w:bottom w:w="0" w:type="dxa"/>
            </w:tcMar>
            <w:vAlign w:val="center"/>
          </w:tcPr>
          <w:p w14:paraId="04E1B19A" w14:textId="77777777" w:rsidR="00D54EF4" w:rsidRDefault="00957D41">
            <w:pPr>
              <w:keepNext/>
              <w:keepLines/>
              <w:spacing w:after="0" w:line="240" w:lineRule="auto"/>
            </w:pPr>
            <w:r>
              <w:rPr>
                <w:sz w:val="18"/>
              </w:rPr>
              <w:t>64</w:t>
            </w:r>
          </w:p>
        </w:tc>
        <w:tc>
          <w:tcPr>
            <w:tcW w:w="3180" w:type="dxa"/>
            <w:tcMar>
              <w:top w:w="0" w:type="dxa"/>
              <w:bottom w:w="0" w:type="dxa"/>
            </w:tcMar>
            <w:vAlign w:val="center"/>
          </w:tcPr>
          <w:p w14:paraId="6167049C" w14:textId="77777777" w:rsidR="00D54EF4" w:rsidRDefault="00957D41">
            <w:pPr>
              <w:keepNext/>
              <w:keepLines/>
              <w:spacing w:after="0" w:line="240" w:lineRule="auto"/>
            </w:pPr>
            <w:r>
              <w:rPr>
                <w:sz w:val="18"/>
              </w:rPr>
              <w:t>Prihodi od imovine (šifre 641+642+643)</w:t>
            </w:r>
          </w:p>
        </w:tc>
        <w:tc>
          <w:tcPr>
            <w:tcW w:w="700" w:type="dxa"/>
            <w:tcMar>
              <w:top w:w="0" w:type="dxa"/>
              <w:bottom w:w="0" w:type="dxa"/>
            </w:tcMar>
            <w:vAlign w:val="center"/>
          </w:tcPr>
          <w:p w14:paraId="4828C032" w14:textId="77777777" w:rsidR="00D54EF4" w:rsidRDefault="00957D41">
            <w:pPr>
              <w:keepNext/>
              <w:keepLines/>
              <w:spacing w:after="0" w:line="240" w:lineRule="auto"/>
            </w:pPr>
            <w:r>
              <w:rPr>
                <w:sz w:val="18"/>
              </w:rPr>
              <w:t>64</w:t>
            </w:r>
          </w:p>
        </w:tc>
        <w:tc>
          <w:tcPr>
            <w:tcW w:w="1860" w:type="dxa"/>
            <w:tcMar>
              <w:top w:w="0" w:type="dxa"/>
              <w:bottom w:w="0" w:type="dxa"/>
            </w:tcMar>
            <w:vAlign w:val="center"/>
          </w:tcPr>
          <w:p w14:paraId="5E620ABD" w14:textId="77777777" w:rsidR="00D54EF4" w:rsidRDefault="00957D41">
            <w:pPr>
              <w:keepNext/>
              <w:keepLines/>
              <w:spacing w:after="0" w:line="240" w:lineRule="auto"/>
              <w:jc w:val="right"/>
            </w:pPr>
            <w:r>
              <w:rPr>
                <w:sz w:val="18"/>
              </w:rPr>
              <w:t>66.640,28</w:t>
            </w:r>
          </w:p>
        </w:tc>
        <w:tc>
          <w:tcPr>
            <w:tcW w:w="1860" w:type="dxa"/>
            <w:tcMar>
              <w:top w:w="0" w:type="dxa"/>
              <w:bottom w:w="0" w:type="dxa"/>
            </w:tcMar>
            <w:vAlign w:val="center"/>
          </w:tcPr>
          <w:p w14:paraId="7242E6EC" w14:textId="77777777" w:rsidR="00D54EF4" w:rsidRDefault="00957D41">
            <w:pPr>
              <w:keepNext/>
              <w:keepLines/>
              <w:spacing w:after="0" w:line="240" w:lineRule="auto"/>
              <w:jc w:val="right"/>
            </w:pPr>
            <w:r>
              <w:rPr>
                <w:sz w:val="18"/>
              </w:rPr>
              <w:t>25.461,10</w:t>
            </w:r>
          </w:p>
        </w:tc>
        <w:tc>
          <w:tcPr>
            <w:tcW w:w="700" w:type="dxa"/>
            <w:tcMar>
              <w:top w:w="0" w:type="dxa"/>
              <w:bottom w:w="0" w:type="dxa"/>
            </w:tcMar>
            <w:vAlign w:val="center"/>
          </w:tcPr>
          <w:p w14:paraId="0BA1EC04" w14:textId="77777777" w:rsidR="00D54EF4" w:rsidRDefault="00957D41">
            <w:pPr>
              <w:keepNext/>
              <w:keepLines/>
              <w:spacing w:after="0" w:line="240" w:lineRule="auto"/>
              <w:jc w:val="right"/>
            </w:pPr>
            <w:r>
              <w:rPr>
                <w:sz w:val="18"/>
              </w:rPr>
              <w:t>38,2</w:t>
            </w:r>
          </w:p>
        </w:tc>
      </w:tr>
    </w:tbl>
    <w:p w14:paraId="297D6634" w14:textId="77777777" w:rsidR="00D54EF4" w:rsidRDefault="00D54EF4">
      <w:pPr>
        <w:spacing w:after="0"/>
      </w:pPr>
    </w:p>
    <w:p w14:paraId="4AC6A77D" w14:textId="77777777" w:rsidR="00D54EF4" w:rsidRDefault="00957D41" w:rsidP="00957D41">
      <w:pPr>
        <w:jc w:val="both"/>
      </w:pPr>
      <w:r>
        <w:t>U izvještajnom razdoblju ostvareni prihodi od nefinancijske imovine odnosno prihodi od naknada za koncesije manji su za 62% u odnosu na izvještajno razdoblje prethodne godine zbog kašnjenja u plaćanju koncesijskih naknada od strane koncesionara.</w:t>
      </w:r>
    </w:p>
    <w:p w14:paraId="42145501" w14:textId="77777777" w:rsidR="00D54EF4" w:rsidRDefault="00D54EF4"/>
    <w:p w14:paraId="210DE51A" w14:textId="77777777" w:rsidR="00D54EF4" w:rsidRDefault="00957D4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05C1D2AD" w14:textId="77777777">
        <w:trPr>
          <w:cantSplit/>
        </w:trPr>
        <w:tc>
          <w:tcPr>
            <w:tcW w:w="700" w:type="dxa"/>
            <w:shd w:val="clear" w:color="auto" w:fill="E7F0F9"/>
            <w:tcMar>
              <w:top w:w="0" w:type="dxa"/>
              <w:bottom w:w="0" w:type="dxa"/>
            </w:tcMar>
            <w:vAlign w:val="center"/>
          </w:tcPr>
          <w:p w14:paraId="2D1AD2D7"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174503"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F8C2A"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0D557"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53948"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34E5C" w14:textId="77777777" w:rsidR="00D54EF4" w:rsidRDefault="00957D41">
            <w:pPr>
              <w:keepNext/>
              <w:keepLines/>
              <w:spacing w:after="0" w:line="240" w:lineRule="auto"/>
              <w:jc w:val="center"/>
            </w:pPr>
            <w:r>
              <w:rPr>
                <w:b/>
                <w:sz w:val="18"/>
              </w:rPr>
              <w:t>Indeks (%)</w:t>
            </w:r>
          </w:p>
        </w:tc>
      </w:tr>
      <w:tr w:rsidR="00D54EF4" w14:paraId="6E59CF67" w14:textId="77777777">
        <w:trPr>
          <w:cantSplit/>
          <w:trHeight w:val="560"/>
        </w:trPr>
        <w:tc>
          <w:tcPr>
            <w:tcW w:w="700" w:type="dxa"/>
            <w:tcMar>
              <w:top w:w="0" w:type="dxa"/>
              <w:bottom w:w="0" w:type="dxa"/>
            </w:tcMar>
            <w:vAlign w:val="center"/>
          </w:tcPr>
          <w:p w14:paraId="77BBF39D" w14:textId="77777777" w:rsidR="00D54EF4" w:rsidRDefault="00957D41">
            <w:pPr>
              <w:keepNext/>
              <w:keepLines/>
              <w:spacing w:after="0" w:line="240" w:lineRule="auto"/>
            </w:pPr>
            <w:r>
              <w:rPr>
                <w:sz w:val="18"/>
              </w:rPr>
              <w:t>65</w:t>
            </w:r>
          </w:p>
        </w:tc>
        <w:tc>
          <w:tcPr>
            <w:tcW w:w="3180" w:type="dxa"/>
            <w:tcMar>
              <w:top w:w="0" w:type="dxa"/>
              <w:bottom w:w="0" w:type="dxa"/>
            </w:tcMar>
            <w:vAlign w:val="center"/>
          </w:tcPr>
          <w:p w14:paraId="007DB3CB" w14:textId="77777777" w:rsidR="00D54EF4" w:rsidRDefault="00957D41">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16719A2" w14:textId="77777777" w:rsidR="00D54EF4" w:rsidRDefault="00957D41">
            <w:pPr>
              <w:keepNext/>
              <w:keepLines/>
              <w:spacing w:after="0" w:line="240" w:lineRule="auto"/>
            </w:pPr>
            <w:r>
              <w:rPr>
                <w:sz w:val="18"/>
              </w:rPr>
              <w:t>65</w:t>
            </w:r>
          </w:p>
        </w:tc>
        <w:tc>
          <w:tcPr>
            <w:tcW w:w="1860" w:type="dxa"/>
            <w:tcMar>
              <w:top w:w="0" w:type="dxa"/>
              <w:bottom w:w="0" w:type="dxa"/>
            </w:tcMar>
            <w:vAlign w:val="center"/>
          </w:tcPr>
          <w:p w14:paraId="1B4F401C" w14:textId="77777777" w:rsidR="00D54EF4" w:rsidRDefault="00957D41">
            <w:pPr>
              <w:keepNext/>
              <w:keepLines/>
              <w:spacing w:after="0" w:line="240" w:lineRule="auto"/>
              <w:jc w:val="right"/>
            </w:pPr>
            <w:r>
              <w:rPr>
                <w:sz w:val="18"/>
              </w:rPr>
              <w:t>373.303,33</w:t>
            </w:r>
          </w:p>
        </w:tc>
        <w:tc>
          <w:tcPr>
            <w:tcW w:w="1860" w:type="dxa"/>
            <w:tcMar>
              <w:top w:w="0" w:type="dxa"/>
              <w:bottom w:w="0" w:type="dxa"/>
            </w:tcMar>
            <w:vAlign w:val="center"/>
          </w:tcPr>
          <w:p w14:paraId="4A5B3289" w14:textId="77777777" w:rsidR="00D54EF4" w:rsidRDefault="00957D41">
            <w:pPr>
              <w:keepNext/>
              <w:keepLines/>
              <w:spacing w:after="0" w:line="240" w:lineRule="auto"/>
              <w:jc w:val="right"/>
            </w:pPr>
            <w:r>
              <w:rPr>
                <w:sz w:val="18"/>
              </w:rPr>
              <w:t>440.438,76</w:t>
            </w:r>
          </w:p>
        </w:tc>
        <w:tc>
          <w:tcPr>
            <w:tcW w:w="700" w:type="dxa"/>
            <w:tcMar>
              <w:top w:w="0" w:type="dxa"/>
              <w:bottom w:w="0" w:type="dxa"/>
            </w:tcMar>
            <w:vAlign w:val="center"/>
          </w:tcPr>
          <w:p w14:paraId="27AE8CBC" w14:textId="77777777" w:rsidR="00D54EF4" w:rsidRDefault="00957D41">
            <w:pPr>
              <w:keepNext/>
              <w:keepLines/>
              <w:spacing w:after="0" w:line="240" w:lineRule="auto"/>
              <w:jc w:val="right"/>
            </w:pPr>
            <w:r>
              <w:rPr>
                <w:sz w:val="18"/>
              </w:rPr>
              <w:t>118,0</w:t>
            </w:r>
          </w:p>
        </w:tc>
      </w:tr>
    </w:tbl>
    <w:p w14:paraId="06768AB9" w14:textId="77777777" w:rsidR="00D54EF4" w:rsidRDefault="00D54EF4">
      <w:pPr>
        <w:spacing w:after="0"/>
      </w:pPr>
    </w:p>
    <w:p w14:paraId="0CB488B1" w14:textId="77777777" w:rsidR="00D54EF4" w:rsidRDefault="00957D41" w:rsidP="00957D41">
      <w:pPr>
        <w:jc w:val="both"/>
      </w:pPr>
      <w:r>
        <w:t>U izvještajnom razdoblju ostvareni su veći prihodi od ostalih pristojbi i naknada (lučke pristojbe za uporabu obale) za 18% u odnosu na izvještajno razdoblje prethodne godine zbog naplate dodatne pristojbe za zbrinjavanje fekalnih otpada s brodova te povećanja broja pristajanja riječnih kruzera.</w:t>
      </w:r>
    </w:p>
    <w:p w14:paraId="04ECAB99" w14:textId="77777777" w:rsidR="00D54EF4" w:rsidRDefault="00D54EF4"/>
    <w:p w14:paraId="067FB007" w14:textId="77777777" w:rsidR="00D54EF4" w:rsidRDefault="00957D41">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082851D6" w14:textId="77777777">
        <w:trPr>
          <w:cantSplit/>
        </w:trPr>
        <w:tc>
          <w:tcPr>
            <w:tcW w:w="700" w:type="dxa"/>
            <w:shd w:val="clear" w:color="auto" w:fill="E7F0F9"/>
            <w:tcMar>
              <w:top w:w="0" w:type="dxa"/>
              <w:bottom w:w="0" w:type="dxa"/>
            </w:tcMar>
            <w:vAlign w:val="center"/>
          </w:tcPr>
          <w:p w14:paraId="6B90ACCB"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1E70D"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49A894"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4FADA"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842CE"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17BFDC" w14:textId="77777777" w:rsidR="00D54EF4" w:rsidRDefault="00957D41">
            <w:pPr>
              <w:keepNext/>
              <w:keepLines/>
              <w:spacing w:after="0" w:line="240" w:lineRule="auto"/>
              <w:jc w:val="center"/>
            </w:pPr>
            <w:r>
              <w:rPr>
                <w:b/>
                <w:sz w:val="18"/>
              </w:rPr>
              <w:t>Indeks (%)</w:t>
            </w:r>
          </w:p>
        </w:tc>
      </w:tr>
      <w:tr w:rsidR="00D54EF4" w14:paraId="48DB84B8" w14:textId="77777777">
        <w:trPr>
          <w:cantSplit/>
          <w:trHeight w:val="560"/>
        </w:trPr>
        <w:tc>
          <w:tcPr>
            <w:tcW w:w="700" w:type="dxa"/>
            <w:tcMar>
              <w:top w:w="0" w:type="dxa"/>
              <w:bottom w:w="0" w:type="dxa"/>
            </w:tcMar>
            <w:vAlign w:val="center"/>
          </w:tcPr>
          <w:p w14:paraId="0DD83C69" w14:textId="77777777" w:rsidR="00D54EF4" w:rsidRDefault="00957D41">
            <w:pPr>
              <w:keepNext/>
              <w:keepLines/>
              <w:spacing w:after="0" w:line="240" w:lineRule="auto"/>
            </w:pPr>
            <w:r>
              <w:rPr>
                <w:sz w:val="18"/>
              </w:rPr>
              <w:t>66</w:t>
            </w:r>
          </w:p>
        </w:tc>
        <w:tc>
          <w:tcPr>
            <w:tcW w:w="3180" w:type="dxa"/>
            <w:tcMar>
              <w:top w:w="0" w:type="dxa"/>
              <w:bottom w:w="0" w:type="dxa"/>
            </w:tcMar>
            <w:vAlign w:val="center"/>
          </w:tcPr>
          <w:p w14:paraId="3B924E6E" w14:textId="77777777" w:rsidR="00D54EF4" w:rsidRDefault="00957D41">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6D793F8" w14:textId="77777777" w:rsidR="00D54EF4" w:rsidRDefault="00957D41">
            <w:pPr>
              <w:keepNext/>
              <w:keepLines/>
              <w:spacing w:after="0" w:line="240" w:lineRule="auto"/>
            </w:pPr>
            <w:r>
              <w:rPr>
                <w:sz w:val="18"/>
              </w:rPr>
              <w:t>66</w:t>
            </w:r>
          </w:p>
        </w:tc>
        <w:tc>
          <w:tcPr>
            <w:tcW w:w="1860" w:type="dxa"/>
            <w:tcMar>
              <w:top w:w="0" w:type="dxa"/>
              <w:bottom w:w="0" w:type="dxa"/>
            </w:tcMar>
            <w:vAlign w:val="center"/>
          </w:tcPr>
          <w:p w14:paraId="47549245" w14:textId="77777777" w:rsidR="00D54EF4" w:rsidRDefault="00957D41">
            <w:pPr>
              <w:keepNext/>
              <w:keepLines/>
              <w:spacing w:after="0" w:line="240" w:lineRule="auto"/>
              <w:jc w:val="right"/>
            </w:pPr>
            <w:r>
              <w:rPr>
                <w:sz w:val="18"/>
              </w:rPr>
              <w:t>13.383,72</w:t>
            </w:r>
          </w:p>
        </w:tc>
        <w:tc>
          <w:tcPr>
            <w:tcW w:w="1860" w:type="dxa"/>
            <w:tcMar>
              <w:top w:w="0" w:type="dxa"/>
              <w:bottom w:w="0" w:type="dxa"/>
            </w:tcMar>
            <w:vAlign w:val="center"/>
          </w:tcPr>
          <w:p w14:paraId="127C409A" w14:textId="77777777" w:rsidR="00D54EF4" w:rsidRDefault="00957D41">
            <w:pPr>
              <w:keepNext/>
              <w:keepLines/>
              <w:spacing w:after="0" w:line="240" w:lineRule="auto"/>
              <w:jc w:val="right"/>
            </w:pPr>
            <w:r>
              <w:rPr>
                <w:sz w:val="18"/>
              </w:rPr>
              <w:t>11.715,80</w:t>
            </w:r>
          </w:p>
        </w:tc>
        <w:tc>
          <w:tcPr>
            <w:tcW w:w="700" w:type="dxa"/>
            <w:tcMar>
              <w:top w:w="0" w:type="dxa"/>
              <w:bottom w:w="0" w:type="dxa"/>
            </w:tcMar>
            <w:vAlign w:val="center"/>
          </w:tcPr>
          <w:p w14:paraId="43C71E20" w14:textId="77777777" w:rsidR="00D54EF4" w:rsidRDefault="00957D41">
            <w:pPr>
              <w:keepNext/>
              <w:keepLines/>
              <w:spacing w:after="0" w:line="240" w:lineRule="auto"/>
              <w:jc w:val="right"/>
            </w:pPr>
            <w:r>
              <w:rPr>
                <w:sz w:val="18"/>
              </w:rPr>
              <w:t>87,5</w:t>
            </w:r>
          </w:p>
        </w:tc>
      </w:tr>
    </w:tbl>
    <w:p w14:paraId="287F718B" w14:textId="77777777" w:rsidR="00D54EF4" w:rsidRDefault="00D54EF4" w:rsidP="00957D41">
      <w:pPr>
        <w:spacing w:after="0"/>
        <w:jc w:val="both"/>
      </w:pPr>
    </w:p>
    <w:p w14:paraId="3C33AE26" w14:textId="77777777" w:rsidR="00D54EF4" w:rsidRDefault="00957D41" w:rsidP="00957D41">
      <w:pPr>
        <w:jc w:val="both"/>
      </w:pPr>
      <w:r>
        <w:t>Navedeni prihodi odnose se na prihode od davanja u zakup poslovnih prostora i lučkog područja. </w:t>
      </w:r>
    </w:p>
    <w:p w14:paraId="25ACBAAD" w14:textId="77777777" w:rsidR="00D54EF4" w:rsidRDefault="00D54EF4"/>
    <w:p w14:paraId="6E8254A3" w14:textId="77777777" w:rsidR="00D54EF4" w:rsidRDefault="00957D4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44F7B3E3" w14:textId="77777777">
        <w:trPr>
          <w:cantSplit/>
        </w:trPr>
        <w:tc>
          <w:tcPr>
            <w:tcW w:w="700" w:type="dxa"/>
            <w:shd w:val="clear" w:color="auto" w:fill="E7F0F9"/>
            <w:tcMar>
              <w:top w:w="0" w:type="dxa"/>
              <w:bottom w:w="0" w:type="dxa"/>
            </w:tcMar>
            <w:vAlign w:val="center"/>
          </w:tcPr>
          <w:p w14:paraId="18F5F098"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1BC8F8"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F98C16"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01875"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73312"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AF08F7" w14:textId="77777777" w:rsidR="00D54EF4" w:rsidRDefault="00957D41">
            <w:pPr>
              <w:keepNext/>
              <w:keepLines/>
              <w:spacing w:after="0" w:line="240" w:lineRule="auto"/>
              <w:jc w:val="center"/>
            </w:pPr>
            <w:r>
              <w:rPr>
                <w:b/>
                <w:sz w:val="18"/>
              </w:rPr>
              <w:t>Indeks (%)</w:t>
            </w:r>
          </w:p>
        </w:tc>
      </w:tr>
      <w:tr w:rsidR="00D54EF4" w14:paraId="35D9DA55" w14:textId="77777777">
        <w:trPr>
          <w:cantSplit/>
          <w:trHeight w:val="560"/>
        </w:trPr>
        <w:tc>
          <w:tcPr>
            <w:tcW w:w="700" w:type="dxa"/>
            <w:tcMar>
              <w:top w:w="0" w:type="dxa"/>
              <w:bottom w:w="0" w:type="dxa"/>
            </w:tcMar>
            <w:vAlign w:val="center"/>
          </w:tcPr>
          <w:p w14:paraId="6DBCE23B" w14:textId="77777777" w:rsidR="00D54EF4" w:rsidRDefault="00957D41">
            <w:pPr>
              <w:keepNext/>
              <w:keepLines/>
              <w:spacing w:after="0" w:line="240" w:lineRule="auto"/>
            </w:pPr>
            <w:r>
              <w:rPr>
                <w:sz w:val="18"/>
              </w:rPr>
              <w:t>67</w:t>
            </w:r>
          </w:p>
        </w:tc>
        <w:tc>
          <w:tcPr>
            <w:tcW w:w="3180" w:type="dxa"/>
            <w:tcMar>
              <w:top w:w="0" w:type="dxa"/>
              <w:bottom w:w="0" w:type="dxa"/>
            </w:tcMar>
            <w:vAlign w:val="center"/>
          </w:tcPr>
          <w:p w14:paraId="023FD850" w14:textId="77777777" w:rsidR="00D54EF4" w:rsidRDefault="00957D41">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665A37AC" w14:textId="77777777" w:rsidR="00D54EF4" w:rsidRDefault="00957D41">
            <w:pPr>
              <w:keepNext/>
              <w:keepLines/>
              <w:spacing w:after="0" w:line="240" w:lineRule="auto"/>
            </w:pPr>
            <w:r>
              <w:rPr>
                <w:sz w:val="18"/>
              </w:rPr>
              <w:t>67</w:t>
            </w:r>
          </w:p>
        </w:tc>
        <w:tc>
          <w:tcPr>
            <w:tcW w:w="1860" w:type="dxa"/>
            <w:tcMar>
              <w:top w:w="0" w:type="dxa"/>
              <w:bottom w:w="0" w:type="dxa"/>
            </w:tcMar>
            <w:vAlign w:val="center"/>
          </w:tcPr>
          <w:p w14:paraId="2E16ADAF" w14:textId="77777777" w:rsidR="00D54EF4" w:rsidRDefault="00957D41">
            <w:pPr>
              <w:keepNext/>
              <w:keepLines/>
              <w:spacing w:after="0" w:line="240" w:lineRule="auto"/>
              <w:jc w:val="right"/>
            </w:pPr>
            <w:r>
              <w:rPr>
                <w:sz w:val="18"/>
              </w:rPr>
              <w:t>3.637.466,08</w:t>
            </w:r>
          </w:p>
        </w:tc>
        <w:tc>
          <w:tcPr>
            <w:tcW w:w="1860" w:type="dxa"/>
            <w:tcMar>
              <w:top w:w="0" w:type="dxa"/>
              <w:bottom w:w="0" w:type="dxa"/>
            </w:tcMar>
            <w:vAlign w:val="center"/>
          </w:tcPr>
          <w:p w14:paraId="3711E825" w14:textId="77777777" w:rsidR="00D54EF4" w:rsidRDefault="00957D41">
            <w:pPr>
              <w:keepNext/>
              <w:keepLines/>
              <w:spacing w:after="0" w:line="240" w:lineRule="auto"/>
              <w:jc w:val="right"/>
            </w:pPr>
            <w:r>
              <w:rPr>
                <w:sz w:val="18"/>
              </w:rPr>
              <w:t>5.577.264,29</w:t>
            </w:r>
          </w:p>
        </w:tc>
        <w:tc>
          <w:tcPr>
            <w:tcW w:w="700" w:type="dxa"/>
            <w:tcMar>
              <w:top w:w="0" w:type="dxa"/>
              <w:bottom w:w="0" w:type="dxa"/>
            </w:tcMar>
            <w:vAlign w:val="center"/>
          </w:tcPr>
          <w:p w14:paraId="4503978D" w14:textId="77777777" w:rsidR="00D54EF4" w:rsidRDefault="00957D41">
            <w:pPr>
              <w:keepNext/>
              <w:keepLines/>
              <w:spacing w:after="0" w:line="240" w:lineRule="auto"/>
              <w:jc w:val="right"/>
            </w:pPr>
            <w:r>
              <w:rPr>
                <w:sz w:val="18"/>
              </w:rPr>
              <w:t>153,3</w:t>
            </w:r>
          </w:p>
        </w:tc>
      </w:tr>
    </w:tbl>
    <w:p w14:paraId="0199CE1E" w14:textId="77777777" w:rsidR="00D54EF4" w:rsidRDefault="00D54EF4" w:rsidP="00957D41">
      <w:pPr>
        <w:spacing w:after="0"/>
        <w:jc w:val="both"/>
      </w:pPr>
    </w:p>
    <w:p w14:paraId="04850335" w14:textId="77777777" w:rsidR="00D54EF4" w:rsidRDefault="00957D41" w:rsidP="00957D41">
      <w:pPr>
        <w:jc w:val="both"/>
      </w:pPr>
      <w:r>
        <w:t>Navedeni prihodi čine 92% od ukupnih prihoda, a odnose se na prihode iz nadležnog proračuna za financiranje rashoda poslovanja i rashoda za nabavu nefinancijske imovine. U promatranom razdoblju prihodi za financiranje rashoda poslovanja iznose 1.024.241,13 eura s manje značajnim smanjenjem u odnosu na isto razdoblje prethodne godine kada su iznosili 1.336.774,10 eura. Ovim prihodima najvećim dijelom se financiraju rashodi za usluge tekućeg i investicijskog održavanja lučkih građevina i lučkog područja. Značajno povećanje nastaje od prihoda iz nadležnog proračuna za nabavu nefinancijske imovine koji iznose 4.553.023,16 eura dok su u promatranom razdoblju prethodne godine iznosili 2.300.691,98 što čini povećanje za 98%. Rezultat povećanja su povećane kapitalne investicije na lučkom području (izgradnja novih pristaništa i riječnih marina, izgradnja nove upravne zgrade,  projektne dokumentacije za buduća pristaništa te dodatna ulaganja na postojećim pristaništima). </w:t>
      </w:r>
    </w:p>
    <w:p w14:paraId="7DD8C578" w14:textId="77777777" w:rsidR="00D54EF4" w:rsidRDefault="00D54EF4"/>
    <w:p w14:paraId="001C814B" w14:textId="77777777" w:rsidR="00D54EF4" w:rsidRDefault="00957D4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7E3B8687" w14:textId="77777777">
        <w:trPr>
          <w:cantSplit/>
        </w:trPr>
        <w:tc>
          <w:tcPr>
            <w:tcW w:w="700" w:type="dxa"/>
            <w:shd w:val="clear" w:color="auto" w:fill="E7F0F9"/>
            <w:tcMar>
              <w:top w:w="0" w:type="dxa"/>
              <w:bottom w:w="0" w:type="dxa"/>
            </w:tcMar>
            <w:vAlign w:val="center"/>
          </w:tcPr>
          <w:p w14:paraId="6098D5AA"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49B62C"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E8EED"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DE4E1"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E249DA"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38204A" w14:textId="77777777" w:rsidR="00D54EF4" w:rsidRDefault="00957D41">
            <w:pPr>
              <w:keepNext/>
              <w:keepLines/>
              <w:spacing w:after="0" w:line="240" w:lineRule="auto"/>
              <w:jc w:val="center"/>
            </w:pPr>
            <w:r>
              <w:rPr>
                <w:b/>
                <w:sz w:val="18"/>
              </w:rPr>
              <w:t>Indeks (%)</w:t>
            </w:r>
          </w:p>
        </w:tc>
      </w:tr>
      <w:tr w:rsidR="00D54EF4" w14:paraId="4B0D6C42" w14:textId="77777777">
        <w:trPr>
          <w:cantSplit/>
          <w:trHeight w:val="560"/>
        </w:trPr>
        <w:tc>
          <w:tcPr>
            <w:tcW w:w="700" w:type="dxa"/>
            <w:tcMar>
              <w:top w:w="0" w:type="dxa"/>
              <w:bottom w:w="0" w:type="dxa"/>
            </w:tcMar>
            <w:vAlign w:val="center"/>
          </w:tcPr>
          <w:p w14:paraId="4CA4EC77" w14:textId="77777777" w:rsidR="00D54EF4" w:rsidRDefault="00957D41">
            <w:pPr>
              <w:keepNext/>
              <w:keepLines/>
              <w:spacing w:after="0" w:line="240" w:lineRule="auto"/>
            </w:pPr>
            <w:r>
              <w:rPr>
                <w:sz w:val="18"/>
              </w:rPr>
              <w:t>31</w:t>
            </w:r>
          </w:p>
        </w:tc>
        <w:tc>
          <w:tcPr>
            <w:tcW w:w="3180" w:type="dxa"/>
            <w:tcMar>
              <w:top w:w="0" w:type="dxa"/>
              <w:bottom w:w="0" w:type="dxa"/>
            </w:tcMar>
            <w:vAlign w:val="center"/>
          </w:tcPr>
          <w:p w14:paraId="6E108225" w14:textId="77777777" w:rsidR="00D54EF4" w:rsidRDefault="00957D41">
            <w:pPr>
              <w:keepNext/>
              <w:keepLines/>
              <w:spacing w:after="0" w:line="240" w:lineRule="auto"/>
            </w:pPr>
            <w:r>
              <w:rPr>
                <w:sz w:val="18"/>
              </w:rPr>
              <w:t>Rashodi za zaposlene (šifre 311+312+313)</w:t>
            </w:r>
          </w:p>
        </w:tc>
        <w:tc>
          <w:tcPr>
            <w:tcW w:w="700" w:type="dxa"/>
            <w:tcMar>
              <w:top w:w="0" w:type="dxa"/>
              <w:bottom w:w="0" w:type="dxa"/>
            </w:tcMar>
            <w:vAlign w:val="center"/>
          </w:tcPr>
          <w:p w14:paraId="0A5DBB62" w14:textId="77777777" w:rsidR="00D54EF4" w:rsidRDefault="00957D41">
            <w:pPr>
              <w:keepNext/>
              <w:keepLines/>
              <w:spacing w:after="0" w:line="240" w:lineRule="auto"/>
            </w:pPr>
            <w:r>
              <w:rPr>
                <w:sz w:val="18"/>
              </w:rPr>
              <w:t>31</w:t>
            </w:r>
          </w:p>
        </w:tc>
        <w:tc>
          <w:tcPr>
            <w:tcW w:w="1860" w:type="dxa"/>
            <w:tcMar>
              <w:top w:w="0" w:type="dxa"/>
              <w:bottom w:w="0" w:type="dxa"/>
            </w:tcMar>
            <w:vAlign w:val="center"/>
          </w:tcPr>
          <w:p w14:paraId="48EA4E7B" w14:textId="77777777" w:rsidR="00D54EF4" w:rsidRDefault="00957D41">
            <w:pPr>
              <w:keepNext/>
              <w:keepLines/>
              <w:spacing w:after="0" w:line="240" w:lineRule="auto"/>
              <w:jc w:val="right"/>
            </w:pPr>
            <w:r>
              <w:rPr>
                <w:sz w:val="18"/>
              </w:rPr>
              <w:t>367.444,66</w:t>
            </w:r>
          </w:p>
        </w:tc>
        <w:tc>
          <w:tcPr>
            <w:tcW w:w="1860" w:type="dxa"/>
            <w:tcMar>
              <w:top w:w="0" w:type="dxa"/>
              <w:bottom w:w="0" w:type="dxa"/>
            </w:tcMar>
            <w:vAlign w:val="center"/>
          </w:tcPr>
          <w:p w14:paraId="5FD1A125" w14:textId="77777777" w:rsidR="00D54EF4" w:rsidRDefault="00957D41">
            <w:pPr>
              <w:keepNext/>
              <w:keepLines/>
              <w:spacing w:after="0" w:line="240" w:lineRule="auto"/>
              <w:jc w:val="right"/>
            </w:pPr>
            <w:r>
              <w:rPr>
                <w:sz w:val="18"/>
              </w:rPr>
              <w:t>424.853,05</w:t>
            </w:r>
          </w:p>
        </w:tc>
        <w:tc>
          <w:tcPr>
            <w:tcW w:w="700" w:type="dxa"/>
            <w:tcMar>
              <w:top w:w="0" w:type="dxa"/>
              <w:bottom w:w="0" w:type="dxa"/>
            </w:tcMar>
            <w:vAlign w:val="center"/>
          </w:tcPr>
          <w:p w14:paraId="081FE7D4" w14:textId="77777777" w:rsidR="00D54EF4" w:rsidRDefault="00957D41">
            <w:pPr>
              <w:keepNext/>
              <w:keepLines/>
              <w:spacing w:after="0" w:line="240" w:lineRule="auto"/>
              <w:jc w:val="right"/>
            </w:pPr>
            <w:r>
              <w:rPr>
                <w:sz w:val="18"/>
              </w:rPr>
              <w:t>115,6</w:t>
            </w:r>
          </w:p>
        </w:tc>
      </w:tr>
    </w:tbl>
    <w:p w14:paraId="5CFEFB50" w14:textId="77777777" w:rsidR="00D54EF4" w:rsidRDefault="00D54EF4">
      <w:pPr>
        <w:spacing w:after="0"/>
      </w:pPr>
    </w:p>
    <w:p w14:paraId="3CFC1603" w14:textId="77777777" w:rsidR="00D54EF4" w:rsidRDefault="00957D41" w:rsidP="00957D41">
      <w:pPr>
        <w:jc w:val="both"/>
      </w:pPr>
      <w:r>
        <w:t>Rashodi za zaposlene u strukturi ukupnih rashoda iznose 28%, a sastoje se od plaće za redovan rad, plaće u naravi, plaea za prekovremeni rad, doprinosa za zdravstveno osiguranje i ostalih rashoda za zaposlene. Do manjeg povećanja ovih rashoda u odnosu na promatrano razdoblje prethodne godine došlo je zbog zakonskog povećanja osnovice za obračun plaća i drugih materijalnih prava. Prosječni broj zaposlenih u Lučkoj upravi Vukovar je 11 zaposlenika.</w:t>
      </w:r>
    </w:p>
    <w:p w14:paraId="2DE544C9" w14:textId="77777777" w:rsidR="00D54EF4" w:rsidRDefault="00D54EF4"/>
    <w:p w14:paraId="4F8CA8BD" w14:textId="77777777" w:rsidR="00D54EF4" w:rsidRDefault="00957D4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537418AE" w14:textId="77777777">
        <w:trPr>
          <w:cantSplit/>
        </w:trPr>
        <w:tc>
          <w:tcPr>
            <w:tcW w:w="700" w:type="dxa"/>
            <w:shd w:val="clear" w:color="auto" w:fill="E7F0F9"/>
            <w:tcMar>
              <w:top w:w="0" w:type="dxa"/>
              <w:bottom w:w="0" w:type="dxa"/>
            </w:tcMar>
            <w:vAlign w:val="center"/>
          </w:tcPr>
          <w:p w14:paraId="62322CB4"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E9F19F"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740BE"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ABAD03"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192CD3"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D9613C" w14:textId="77777777" w:rsidR="00D54EF4" w:rsidRDefault="00957D41">
            <w:pPr>
              <w:keepNext/>
              <w:keepLines/>
              <w:spacing w:after="0" w:line="240" w:lineRule="auto"/>
              <w:jc w:val="center"/>
            </w:pPr>
            <w:r>
              <w:rPr>
                <w:b/>
                <w:sz w:val="18"/>
              </w:rPr>
              <w:t>Indeks (%)</w:t>
            </w:r>
          </w:p>
        </w:tc>
      </w:tr>
      <w:tr w:rsidR="00D54EF4" w14:paraId="48B559BD" w14:textId="77777777">
        <w:trPr>
          <w:cantSplit/>
          <w:trHeight w:val="560"/>
        </w:trPr>
        <w:tc>
          <w:tcPr>
            <w:tcW w:w="700" w:type="dxa"/>
            <w:tcMar>
              <w:top w:w="0" w:type="dxa"/>
              <w:bottom w:w="0" w:type="dxa"/>
            </w:tcMar>
            <w:vAlign w:val="center"/>
          </w:tcPr>
          <w:p w14:paraId="27E3BBE8" w14:textId="77777777" w:rsidR="00D54EF4" w:rsidRDefault="00957D41">
            <w:pPr>
              <w:keepNext/>
              <w:keepLines/>
              <w:spacing w:after="0" w:line="240" w:lineRule="auto"/>
            </w:pPr>
            <w:r>
              <w:rPr>
                <w:sz w:val="18"/>
              </w:rPr>
              <w:t>32</w:t>
            </w:r>
          </w:p>
        </w:tc>
        <w:tc>
          <w:tcPr>
            <w:tcW w:w="3180" w:type="dxa"/>
            <w:tcMar>
              <w:top w:w="0" w:type="dxa"/>
              <w:bottom w:w="0" w:type="dxa"/>
            </w:tcMar>
            <w:vAlign w:val="center"/>
          </w:tcPr>
          <w:p w14:paraId="66AC6DF3" w14:textId="77777777" w:rsidR="00D54EF4" w:rsidRDefault="00957D41">
            <w:pPr>
              <w:keepNext/>
              <w:keepLines/>
              <w:spacing w:after="0" w:line="240" w:lineRule="auto"/>
            </w:pPr>
            <w:r>
              <w:rPr>
                <w:sz w:val="18"/>
              </w:rPr>
              <w:t>Materijalni rashodi (šifre 321+322+323+324+325+329)</w:t>
            </w:r>
          </w:p>
        </w:tc>
        <w:tc>
          <w:tcPr>
            <w:tcW w:w="700" w:type="dxa"/>
            <w:tcMar>
              <w:top w:w="0" w:type="dxa"/>
              <w:bottom w:w="0" w:type="dxa"/>
            </w:tcMar>
            <w:vAlign w:val="center"/>
          </w:tcPr>
          <w:p w14:paraId="0002E5BD" w14:textId="77777777" w:rsidR="00D54EF4" w:rsidRDefault="00957D41">
            <w:pPr>
              <w:keepNext/>
              <w:keepLines/>
              <w:spacing w:after="0" w:line="240" w:lineRule="auto"/>
            </w:pPr>
            <w:r>
              <w:rPr>
                <w:sz w:val="18"/>
              </w:rPr>
              <w:t>32</w:t>
            </w:r>
          </w:p>
        </w:tc>
        <w:tc>
          <w:tcPr>
            <w:tcW w:w="1860" w:type="dxa"/>
            <w:tcMar>
              <w:top w:w="0" w:type="dxa"/>
              <w:bottom w:w="0" w:type="dxa"/>
            </w:tcMar>
            <w:vAlign w:val="center"/>
          </w:tcPr>
          <w:p w14:paraId="0A342AB4" w14:textId="77777777" w:rsidR="00D54EF4" w:rsidRDefault="00957D41">
            <w:pPr>
              <w:keepNext/>
              <w:keepLines/>
              <w:spacing w:after="0" w:line="240" w:lineRule="auto"/>
              <w:jc w:val="right"/>
            </w:pPr>
            <w:r>
              <w:rPr>
                <w:sz w:val="18"/>
              </w:rPr>
              <w:t>1.512.743,61</w:t>
            </w:r>
          </w:p>
        </w:tc>
        <w:tc>
          <w:tcPr>
            <w:tcW w:w="1860" w:type="dxa"/>
            <w:tcMar>
              <w:top w:w="0" w:type="dxa"/>
              <w:bottom w:w="0" w:type="dxa"/>
            </w:tcMar>
            <w:vAlign w:val="center"/>
          </w:tcPr>
          <w:p w14:paraId="0E56E0DC" w14:textId="77777777" w:rsidR="00D54EF4" w:rsidRDefault="00957D41">
            <w:pPr>
              <w:keepNext/>
              <w:keepLines/>
              <w:spacing w:after="0" w:line="240" w:lineRule="auto"/>
              <w:jc w:val="right"/>
            </w:pPr>
            <w:r>
              <w:rPr>
                <w:sz w:val="18"/>
              </w:rPr>
              <w:t>1.114.553,48</w:t>
            </w:r>
          </w:p>
        </w:tc>
        <w:tc>
          <w:tcPr>
            <w:tcW w:w="700" w:type="dxa"/>
            <w:tcMar>
              <w:top w:w="0" w:type="dxa"/>
              <w:bottom w:w="0" w:type="dxa"/>
            </w:tcMar>
            <w:vAlign w:val="center"/>
          </w:tcPr>
          <w:p w14:paraId="35FD1257" w14:textId="77777777" w:rsidR="00D54EF4" w:rsidRDefault="00957D41">
            <w:pPr>
              <w:keepNext/>
              <w:keepLines/>
              <w:spacing w:after="0" w:line="240" w:lineRule="auto"/>
              <w:jc w:val="right"/>
            </w:pPr>
            <w:r>
              <w:rPr>
                <w:sz w:val="18"/>
              </w:rPr>
              <w:t>73,7</w:t>
            </w:r>
          </w:p>
        </w:tc>
      </w:tr>
    </w:tbl>
    <w:p w14:paraId="70408219" w14:textId="77777777" w:rsidR="00D54EF4" w:rsidRDefault="00D54EF4">
      <w:pPr>
        <w:spacing w:after="0"/>
      </w:pPr>
    </w:p>
    <w:p w14:paraId="75CBDC22" w14:textId="77777777" w:rsidR="00D54EF4" w:rsidRDefault="00957D41" w:rsidP="00957D41">
      <w:pPr>
        <w:jc w:val="both"/>
      </w:pPr>
      <w:r>
        <w:t>Materijalni rashodi u strukturi ukupnih rashoda iznose 72%, dok najveći udio ovih rashoda čine rashodi za usluge odnosno 90% od ukupnih materijalnih rashoda. Iskazano je povećanje rashoda za plaću u naravi (korištenje prijevoznih sredstava) što je rezultat promjene obračuna zbog kupovine službenog vozila nakon isteka leasinga po kojem je ranije obračunavan trošak plaće u naravi. Također, značajno povećanje za usluge promidžbe i informiranja odnosi se na nabavu promidžbenih materijala te objave u tiskanim i elektronskim medijima u sklopu projekta Interreg IPA CBC Hrvatska-Srbija – Intervencije na Dunavu sukladno hodogramu projektnih aktivnosti. Značajno povećanje rashoda za premije osiguranja nastaje temeljem ugovorenih i podmirenih obveznih osiguranja za pokretnu i nepokretnu imovinu te djelatnika Lučke uprave Vukovar. Povećanje rashoda za sitni inventar i autogume nastaje zbog nabavke novih mobitela, guma za službeno vozilo te aluminijskih čaklji za postojeća pristaništa. </w:t>
      </w:r>
    </w:p>
    <w:p w14:paraId="3AAEF6CD" w14:textId="53C05A34" w:rsidR="00D54EF4" w:rsidRDefault="00957D41">
      <w:r>
        <w:t> </w:t>
      </w:r>
    </w:p>
    <w:p w14:paraId="653EFA0D" w14:textId="77777777" w:rsidR="00D54EF4" w:rsidRDefault="00957D4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187ECDDD" w14:textId="77777777">
        <w:trPr>
          <w:cantSplit/>
        </w:trPr>
        <w:tc>
          <w:tcPr>
            <w:tcW w:w="700" w:type="dxa"/>
            <w:shd w:val="clear" w:color="auto" w:fill="E7F0F9"/>
            <w:tcMar>
              <w:top w:w="0" w:type="dxa"/>
              <w:bottom w:w="0" w:type="dxa"/>
            </w:tcMar>
            <w:vAlign w:val="center"/>
          </w:tcPr>
          <w:p w14:paraId="3C0BADEC"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1C1179"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D72785"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40DFB"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6928FB"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55F402" w14:textId="77777777" w:rsidR="00D54EF4" w:rsidRDefault="00957D41">
            <w:pPr>
              <w:keepNext/>
              <w:keepLines/>
              <w:spacing w:after="0" w:line="240" w:lineRule="auto"/>
              <w:jc w:val="center"/>
            </w:pPr>
            <w:r>
              <w:rPr>
                <w:b/>
                <w:sz w:val="18"/>
              </w:rPr>
              <w:t>Indeks (%)</w:t>
            </w:r>
          </w:p>
        </w:tc>
      </w:tr>
      <w:tr w:rsidR="00D54EF4" w14:paraId="651102A8" w14:textId="77777777">
        <w:trPr>
          <w:cantSplit/>
          <w:trHeight w:val="560"/>
        </w:trPr>
        <w:tc>
          <w:tcPr>
            <w:tcW w:w="700" w:type="dxa"/>
            <w:tcMar>
              <w:top w:w="0" w:type="dxa"/>
              <w:bottom w:w="0" w:type="dxa"/>
            </w:tcMar>
            <w:vAlign w:val="center"/>
          </w:tcPr>
          <w:p w14:paraId="53AC68A8" w14:textId="77777777" w:rsidR="00D54EF4" w:rsidRDefault="00957D41">
            <w:pPr>
              <w:keepNext/>
              <w:keepLines/>
              <w:spacing w:after="0" w:line="240" w:lineRule="auto"/>
            </w:pPr>
            <w:r>
              <w:rPr>
                <w:sz w:val="18"/>
              </w:rPr>
              <w:t>34</w:t>
            </w:r>
          </w:p>
        </w:tc>
        <w:tc>
          <w:tcPr>
            <w:tcW w:w="3180" w:type="dxa"/>
            <w:tcMar>
              <w:top w:w="0" w:type="dxa"/>
              <w:bottom w:w="0" w:type="dxa"/>
            </w:tcMar>
            <w:vAlign w:val="center"/>
          </w:tcPr>
          <w:p w14:paraId="1837D8EA" w14:textId="77777777" w:rsidR="00D54EF4" w:rsidRDefault="00957D41">
            <w:pPr>
              <w:keepNext/>
              <w:keepLines/>
              <w:spacing w:after="0" w:line="240" w:lineRule="auto"/>
            </w:pPr>
            <w:r>
              <w:rPr>
                <w:sz w:val="18"/>
              </w:rPr>
              <w:t>Financijski rashodi (šifre 341+342+343)</w:t>
            </w:r>
          </w:p>
        </w:tc>
        <w:tc>
          <w:tcPr>
            <w:tcW w:w="700" w:type="dxa"/>
            <w:tcMar>
              <w:top w:w="0" w:type="dxa"/>
              <w:bottom w:w="0" w:type="dxa"/>
            </w:tcMar>
            <w:vAlign w:val="center"/>
          </w:tcPr>
          <w:p w14:paraId="3189415B" w14:textId="77777777" w:rsidR="00D54EF4" w:rsidRDefault="00957D41">
            <w:pPr>
              <w:keepNext/>
              <w:keepLines/>
              <w:spacing w:after="0" w:line="240" w:lineRule="auto"/>
            </w:pPr>
            <w:r>
              <w:rPr>
                <w:sz w:val="18"/>
              </w:rPr>
              <w:t>34</w:t>
            </w:r>
          </w:p>
        </w:tc>
        <w:tc>
          <w:tcPr>
            <w:tcW w:w="1860" w:type="dxa"/>
            <w:tcMar>
              <w:top w:w="0" w:type="dxa"/>
              <w:bottom w:w="0" w:type="dxa"/>
            </w:tcMar>
            <w:vAlign w:val="center"/>
          </w:tcPr>
          <w:p w14:paraId="799D0A4F" w14:textId="77777777" w:rsidR="00D54EF4" w:rsidRDefault="00957D41">
            <w:pPr>
              <w:keepNext/>
              <w:keepLines/>
              <w:spacing w:after="0" w:line="240" w:lineRule="auto"/>
              <w:jc w:val="right"/>
            </w:pPr>
            <w:r>
              <w:rPr>
                <w:sz w:val="18"/>
              </w:rPr>
              <w:t>4,65</w:t>
            </w:r>
          </w:p>
        </w:tc>
        <w:tc>
          <w:tcPr>
            <w:tcW w:w="1860" w:type="dxa"/>
            <w:tcMar>
              <w:top w:w="0" w:type="dxa"/>
              <w:bottom w:w="0" w:type="dxa"/>
            </w:tcMar>
            <w:vAlign w:val="center"/>
          </w:tcPr>
          <w:p w14:paraId="18A17921" w14:textId="77777777" w:rsidR="00D54EF4" w:rsidRDefault="00957D41">
            <w:pPr>
              <w:keepNext/>
              <w:keepLines/>
              <w:spacing w:after="0" w:line="240" w:lineRule="auto"/>
              <w:jc w:val="right"/>
            </w:pPr>
            <w:r>
              <w:rPr>
                <w:sz w:val="18"/>
              </w:rPr>
              <w:t>11,28</w:t>
            </w:r>
          </w:p>
        </w:tc>
        <w:tc>
          <w:tcPr>
            <w:tcW w:w="700" w:type="dxa"/>
            <w:tcMar>
              <w:top w:w="0" w:type="dxa"/>
              <w:bottom w:w="0" w:type="dxa"/>
            </w:tcMar>
            <w:vAlign w:val="center"/>
          </w:tcPr>
          <w:p w14:paraId="05B0A75B" w14:textId="77777777" w:rsidR="00D54EF4" w:rsidRDefault="00957D41">
            <w:pPr>
              <w:keepNext/>
              <w:keepLines/>
              <w:spacing w:after="0" w:line="240" w:lineRule="auto"/>
              <w:jc w:val="right"/>
            </w:pPr>
            <w:r>
              <w:rPr>
                <w:sz w:val="18"/>
              </w:rPr>
              <w:t>242,6</w:t>
            </w:r>
          </w:p>
        </w:tc>
      </w:tr>
    </w:tbl>
    <w:p w14:paraId="589FD480" w14:textId="77777777" w:rsidR="00D54EF4" w:rsidRDefault="00D54EF4">
      <w:pPr>
        <w:spacing w:after="0"/>
      </w:pPr>
    </w:p>
    <w:p w14:paraId="06A81ACE" w14:textId="77777777" w:rsidR="00D54EF4" w:rsidRDefault="00957D41">
      <w:r>
        <w:t>Financijski rashodi odnose se na podmirene zatezne kamate u ukupnom iznosu od 11,28 eura.</w:t>
      </w:r>
    </w:p>
    <w:p w14:paraId="7A18FE50" w14:textId="77777777" w:rsidR="00D54EF4" w:rsidRDefault="00D54EF4"/>
    <w:p w14:paraId="2BE14D15" w14:textId="77777777" w:rsidR="00D54EF4" w:rsidRDefault="00957D4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699D59F5" w14:textId="77777777">
        <w:trPr>
          <w:cantSplit/>
        </w:trPr>
        <w:tc>
          <w:tcPr>
            <w:tcW w:w="700" w:type="dxa"/>
            <w:shd w:val="clear" w:color="auto" w:fill="E7F0F9"/>
            <w:tcMar>
              <w:top w:w="0" w:type="dxa"/>
              <w:bottom w:w="0" w:type="dxa"/>
            </w:tcMar>
            <w:vAlign w:val="center"/>
          </w:tcPr>
          <w:p w14:paraId="7D56E894"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2580B0"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C68A6C"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B92AB2"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A7EA38"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15457" w14:textId="77777777" w:rsidR="00D54EF4" w:rsidRDefault="00957D41">
            <w:pPr>
              <w:keepNext/>
              <w:keepLines/>
              <w:spacing w:after="0" w:line="240" w:lineRule="auto"/>
              <w:jc w:val="center"/>
            </w:pPr>
            <w:r>
              <w:rPr>
                <w:b/>
                <w:sz w:val="18"/>
              </w:rPr>
              <w:t>Indeks (%)</w:t>
            </w:r>
          </w:p>
        </w:tc>
      </w:tr>
      <w:tr w:rsidR="00D54EF4" w14:paraId="4AC04199" w14:textId="77777777">
        <w:trPr>
          <w:cantSplit/>
          <w:trHeight w:val="560"/>
        </w:trPr>
        <w:tc>
          <w:tcPr>
            <w:tcW w:w="700" w:type="dxa"/>
            <w:tcMar>
              <w:top w:w="0" w:type="dxa"/>
              <w:bottom w:w="0" w:type="dxa"/>
            </w:tcMar>
            <w:vAlign w:val="center"/>
          </w:tcPr>
          <w:p w14:paraId="5490E95D" w14:textId="77777777" w:rsidR="00D54EF4" w:rsidRDefault="00957D41">
            <w:pPr>
              <w:keepNext/>
              <w:keepLines/>
              <w:spacing w:after="0" w:line="240" w:lineRule="auto"/>
            </w:pPr>
            <w:r>
              <w:rPr>
                <w:sz w:val="18"/>
              </w:rPr>
              <w:t>42</w:t>
            </w:r>
          </w:p>
        </w:tc>
        <w:tc>
          <w:tcPr>
            <w:tcW w:w="3180" w:type="dxa"/>
            <w:tcMar>
              <w:top w:w="0" w:type="dxa"/>
              <w:bottom w:w="0" w:type="dxa"/>
            </w:tcMar>
            <w:vAlign w:val="center"/>
          </w:tcPr>
          <w:p w14:paraId="56557B10" w14:textId="77777777" w:rsidR="00D54EF4" w:rsidRDefault="00957D41">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85EEC55" w14:textId="77777777" w:rsidR="00D54EF4" w:rsidRDefault="00957D41">
            <w:pPr>
              <w:keepNext/>
              <w:keepLines/>
              <w:spacing w:after="0" w:line="240" w:lineRule="auto"/>
            </w:pPr>
            <w:r>
              <w:rPr>
                <w:sz w:val="18"/>
              </w:rPr>
              <w:t>42</w:t>
            </w:r>
          </w:p>
        </w:tc>
        <w:tc>
          <w:tcPr>
            <w:tcW w:w="1860" w:type="dxa"/>
            <w:tcMar>
              <w:top w:w="0" w:type="dxa"/>
              <w:bottom w:w="0" w:type="dxa"/>
            </w:tcMar>
            <w:vAlign w:val="center"/>
          </w:tcPr>
          <w:p w14:paraId="5C9D3259" w14:textId="77777777" w:rsidR="00D54EF4" w:rsidRDefault="00957D41">
            <w:pPr>
              <w:keepNext/>
              <w:keepLines/>
              <w:spacing w:after="0" w:line="240" w:lineRule="auto"/>
              <w:jc w:val="right"/>
            </w:pPr>
            <w:r>
              <w:rPr>
                <w:sz w:val="18"/>
              </w:rPr>
              <w:t>2.099.499,32</w:t>
            </w:r>
          </w:p>
        </w:tc>
        <w:tc>
          <w:tcPr>
            <w:tcW w:w="1860" w:type="dxa"/>
            <w:tcMar>
              <w:top w:w="0" w:type="dxa"/>
              <w:bottom w:w="0" w:type="dxa"/>
            </w:tcMar>
            <w:vAlign w:val="center"/>
          </w:tcPr>
          <w:p w14:paraId="15A16663" w14:textId="77777777" w:rsidR="00D54EF4" w:rsidRDefault="00957D41">
            <w:pPr>
              <w:keepNext/>
              <w:keepLines/>
              <w:spacing w:after="0" w:line="240" w:lineRule="auto"/>
              <w:jc w:val="right"/>
            </w:pPr>
            <w:r>
              <w:rPr>
                <w:sz w:val="18"/>
              </w:rPr>
              <w:t>4.199.503,94</w:t>
            </w:r>
          </w:p>
        </w:tc>
        <w:tc>
          <w:tcPr>
            <w:tcW w:w="700" w:type="dxa"/>
            <w:tcMar>
              <w:top w:w="0" w:type="dxa"/>
              <w:bottom w:w="0" w:type="dxa"/>
            </w:tcMar>
            <w:vAlign w:val="center"/>
          </w:tcPr>
          <w:p w14:paraId="6BE1A693" w14:textId="77777777" w:rsidR="00D54EF4" w:rsidRDefault="00957D41">
            <w:pPr>
              <w:keepNext/>
              <w:keepLines/>
              <w:spacing w:after="0" w:line="240" w:lineRule="auto"/>
              <w:jc w:val="right"/>
            </w:pPr>
            <w:r>
              <w:rPr>
                <w:sz w:val="18"/>
              </w:rPr>
              <w:t>200,0</w:t>
            </w:r>
          </w:p>
        </w:tc>
      </w:tr>
    </w:tbl>
    <w:p w14:paraId="4CA16F83" w14:textId="77777777" w:rsidR="00D54EF4" w:rsidRDefault="00D54EF4" w:rsidP="00957D41">
      <w:pPr>
        <w:spacing w:after="0"/>
        <w:jc w:val="both"/>
      </w:pPr>
    </w:p>
    <w:p w14:paraId="28EAEFB8" w14:textId="0D9AF37D" w:rsidR="00D54EF4" w:rsidRDefault="00957D41" w:rsidP="00957D41">
      <w:pPr>
        <w:jc w:val="both"/>
      </w:pPr>
      <w:r>
        <w:t xml:space="preserve">Značajno povećanje rashoda za nabavu proizvedene dugotrajne imovine u odnosu na izvještajno razdoblje prethodne godine odnosi se na povećan opseg projekata građenja i modernizacije. Najznačanije povećanje nastaje na stavci poslovni objekti zbog izgradnje nove poslovne zgrade i pratećih troškova (nadzor i zaštita na radu) za koju je utrošeno 1,2 milijuna eura. Najznačajniji rashodi na stavci ostali građevinski objekti odnose se na izgradnju riječne marine Marina na području novog akvatorija u Vukovaru (utrošeno 1,5 mlijuna eura) te izgradnju putničkog pristaništa Vučedol (utrošeno 1,3 milijuna eura) dok se preostala utrošena sredstva odnose na troškove izrade projektne dokumentacije za buduća pristaništa i riječne </w:t>
      </w:r>
      <w:r>
        <w:lastRenderedPageBreak/>
        <w:t>marine na lučkom području (Vinkovci, Ilok, Šarengrad i Opatovac). Ujedno je u izvještajnom razdoblju realiziran trošak izrade studije izvodljivosti s CBA analizom (30.000 eura) temeljem Ugovora o usluzi izrade projektne dokumentacije za izgradnju privezišta u Vukovaru u sklopu CEF projekta Fairway Danube II - Budući koraci za unaprjeđenje plovidbe na Dunavu. U izvještajnom razdoblju je nabavljeno službeno vozilo za terenske poslove te oprema za putničko pristanište u Vukovaru i oprema za sustav kontrole na riječnoj marini u Batini.</w:t>
      </w:r>
    </w:p>
    <w:p w14:paraId="04676FD3" w14:textId="77777777" w:rsidR="00957D41" w:rsidRDefault="00957D41" w:rsidP="00957D41">
      <w:pPr>
        <w:jc w:val="both"/>
      </w:pPr>
    </w:p>
    <w:p w14:paraId="57FB417B" w14:textId="77777777" w:rsidR="00D54EF4" w:rsidRDefault="00957D4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022B9DEB" w14:textId="77777777">
        <w:trPr>
          <w:cantSplit/>
        </w:trPr>
        <w:tc>
          <w:tcPr>
            <w:tcW w:w="700" w:type="dxa"/>
            <w:shd w:val="clear" w:color="auto" w:fill="E7F0F9"/>
            <w:tcMar>
              <w:top w:w="0" w:type="dxa"/>
              <w:bottom w:w="0" w:type="dxa"/>
            </w:tcMar>
            <w:vAlign w:val="center"/>
          </w:tcPr>
          <w:p w14:paraId="5D0BEB24"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48ADA7"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3AB6E2"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6E66C" w14:textId="77777777" w:rsidR="00D54EF4" w:rsidRDefault="00957D4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42B3C5" w14:textId="77777777" w:rsidR="00D54EF4" w:rsidRDefault="00957D4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7740A" w14:textId="77777777" w:rsidR="00D54EF4" w:rsidRDefault="00957D41">
            <w:pPr>
              <w:keepNext/>
              <w:keepLines/>
              <w:spacing w:after="0" w:line="240" w:lineRule="auto"/>
              <w:jc w:val="center"/>
            </w:pPr>
            <w:r>
              <w:rPr>
                <w:b/>
                <w:sz w:val="18"/>
              </w:rPr>
              <w:t>Indeks (%)</w:t>
            </w:r>
          </w:p>
        </w:tc>
      </w:tr>
      <w:tr w:rsidR="00D54EF4" w14:paraId="791F9150" w14:textId="77777777">
        <w:trPr>
          <w:cantSplit/>
          <w:trHeight w:val="560"/>
        </w:trPr>
        <w:tc>
          <w:tcPr>
            <w:tcW w:w="700" w:type="dxa"/>
            <w:tcMar>
              <w:top w:w="0" w:type="dxa"/>
              <w:bottom w:w="0" w:type="dxa"/>
            </w:tcMar>
            <w:vAlign w:val="center"/>
          </w:tcPr>
          <w:p w14:paraId="5E5604A1" w14:textId="77777777" w:rsidR="00D54EF4" w:rsidRDefault="00957D41">
            <w:pPr>
              <w:keepNext/>
              <w:keepLines/>
              <w:spacing w:after="0" w:line="240" w:lineRule="auto"/>
            </w:pPr>
            <w:r>
              <w:rPr>
                <w:sz w:val="18"/>
              </w:rPr>
              <w:t>45</w:t>
            </w:r>
          </w:p>
        </w:tc>
        <w:tc>
          <w:tcPr>
            <w:tcW w:w="3180" w:type="dxa"/>
            <w:tcMar>
              <w:top w:w="0" w:type="dxa"/>
              <w:bottom w:w="0" w:type="dxa"/>
            </w:tcMar>
            <w:vAlign w:val="center"/>
          </w:tcPr>
          <w:p w14:paraId="24FC808A" w14:textId="77777777" w:rsidR="00D54EF4" w:rsidRDefault="00957D41">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05DBF5C5" w14:textId="77777777" w:rsidR="00D54EF4" w:rsidRDefault="00957D41">
            <w:pPr>
              <w:keepNext/>
              <w:keepLines/>
              <w:spacing w:after="0" w:line="240" w:lineRule="auto"/>
            </w:pPr>
            <w:r>
              <w:rPr>
                <w:sz w:val="18"/>
              </w:rPr>
              <w:t>45</w:t>
            </w:r>
          </w:p>
        </w:tc>
        <w:tc>
          <w:tcPr>
            <w:tcW w:w="1860" w:type="dxa"/>
            <w:tcMar>
              <w:top w:w="0" w:type="dxa"/>
              <w:bottom w:w="0" w:type="dxa"/>
            </w:tcMar>
            <w:vAlign w:val="center"/>
          </w:tcPr>
          <w:p w14:paraId="62702C8E" w14:textId="77777777" w:rsidR="00D54EF4" w:rsidRDefault="00957D41">
            <w:pPr>
              <w:keepNext/>
              <w:keepLines/>
              <w:spacing w:after="0" w:line="240" w:lineRule="auto"/>
              <w:jc w:val="right"/>
            </w:pPr>
            <w:r>
              <w:rPr>
                <w:sz w:val="18"/>
              </w:rPr>
              <w:t>197.522,91</w:t>
            </w:r>
          </w:p>
        </w:tc>
        <w:tc>
          <w:tcPr>
            <w:tcW w:w="1860" w:type="dxa"/>
            <w:tcMar>
              <w:top w:w="0" w:type="dxa"/>
              <w:bottom w:w="0" w:type="dxa"/>
            </w:tcMar>
            <w:vAlign w:val="center"/>
          </w:tcPr>
          <w:p w14:paraId="046A20F3" w14:textId="77777777" w:rsidR="00D54EF4" w:rsidRDefault="00957D41">
            <w:pPr>
              <w:keepNext/>
              <w:keepLines/>
              <w:spacing w:after="0" w:line="240" w:lineRule="auto"/>
              <w:jc w:val="right"/>
            </w:pPr>
            <w:r>
              <w:rPr>
                <w:sz w:val="18"/>
              </w:rPr>
              <w:t>479.600,77</w:t>
            </w:r>
          </w:p>
        </w:tc>
        <w:tc>
          <w:tcPr>
            <w:tcW w:w="700" w:type="dxa"/>
            <w:tcMar>
              <w:top w:w="0" w:type="dxa"/>
              <w:bottom w:w="0" w:type="dxa"/>
            </w:tcMar>
            <w:vAlign w:val="center"/>
          </w:tcPr>
          <w:p w14:paraId="767ECA30" w14:textId="77777777" w:rsidR="00D54EF4" w:rsidRDefault="00957D41">
            <w:pPr>
              <w:keepNext/>
              <w:keepLines/>
              <w:spacing w:after="0" w:line="240" w:lineRule="auto"/>
              <w:jc w:val="right"/>
            </w:pPr>
            <w:r>
              <w:rPr>
                <w:sz w:val="18"/>
              </w:rPr>
              <w:t>242,8</w:t>
            </w:r>
          </w:p>
        </w:tc>
      </w:tr>
    </w:tbl>
    <w:p w14:paraId="4B16B042" w14:textId="77777777" w:rsidR="00D54EF4" w:rsidRDefault="00D54EF4" w:rsidP="00957D41">
      <w:pPr>
        <w:spacing w:after="0"/>
        <w:jc w:val="both"/>
      </w:pPr>
    </w:p>
    <w:p w14:paraId="4074BA1B" w14:textId="77777777" w:rsidR="00D54EF4" w:rsidRDefault="00957D41" w:rsidP="00957D41">
      <w:pPr>
        <w:jc w:val="both"/>
      </w:pPr>
      <w:r>
        <w:t>Rashodi za dodatna ulaganja na nefinancijskoj imovini čine 10% ukupnih rashoda za nabavu nefinancijske imovine. Ovi rashodi se odnose na dodatna ulaganja na građevinskim objektima na lučkom područja od kojih je najznačajniji trošak izrada projektne dokumentacije za rekonstrukciju zgrade gospodarske najmjene (skladišta) i dodatna ulaganja na putničkim pristaništima od kojih je naznačajniji trošak izgradnja parkirališta za autobuse i automobile s komunalnom infrastrukturom te izgradnja pristupnog mosta na postojećem putničkom pristaništu u Iloku. </w:t>
      </w:r>
    </w:p>
    <w:p w14:paraId="59146763" w14:textId="77777777" w:rsidR="00D54EF4" w:rsidRDefault="00D54EF4"/>
    <w:p w14:paraId="7ECF2909" w14:textId="77777777" w:rsidR="00D54EF4" w:rsidRDefault="00957D41">
      <w:pPr>
        <w:keepNext/>
        <w:spacing w:line="240" w:lineRule="auto"/>
        <w:jc w:val="center"/>
      </w:pPr>
      <w:r>
        <w:rPr>
          <w:b/>
          <w:sz w:val="28"/>
        </w:rPr>
        <w:t>Bilanca</w:t>
      </w:r>
    </w:p>
    <w:p w14:paraId="6C6649EF" w14:textId="77777777" w:rsidR="00D54EF4" w:rsidRDefault="00957D4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7C25AA5C" w14:textId="77777777">
        <w:trPr>
          <w:cantSplit/>
        </w:trPr>
        <w:tc>
          <w:tcPr>
            <w:tcW w:w="700" w:type="dxa"/>
            <w:shd w:val="clear" w:color="auto" w:fill="E7F0F9"/>
            <w:tcMar>
              <w:top w:w="0" w:type="dxa"/>
              <w:bottom w:w="0" w:type="dxa"/>
            </w:tcMar>
            <w:vAlign w:val="center"/>
          </w:tcPr>
          <w:p w14:paraId="2B2F45D8"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973839"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4CADB"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71FD5"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8CF3FD"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7900EF" w14:textId="77777777" w:rsidR="00D54EF4" w:rsidRDefault="00957D41">
            <w:pPr>
              <w:keepNext/>
              <w:keepLines/>
              <w:spacing w:after="0" w:line="240" w:lineRule="auto"/>
              <w:jc w:val="center"/>
            </w:pPr>
            <w:r>
              <w:rPr>
                <w:b/>
                <w:sz w:val="18"/>
              </w:rPr>
              <w:t>Indeks (%)</w:t>
            </w:r>
          </w:p>
        </w:tc>
      </w:tr>
      <w:tr w:rsidR="00D54EF4" w14:paraId="1C3F7579" w14:textId="77777777">
        <w:trPr>
          <w:cantSplit/>
          <w:trHeight w:val="560"/>
        </w:trPr>
        <w:tc>
          <w:tcPr>
            <w:tcW w:w="700" w:type="dxa"/>
            <w:tcMar>
              <w:top w:w="0" w:type="dxa"/>
              <w:bottom w:w="0" w:type="dxa"/>
            </w:tcMar>
            <w:vAlign w:val="center"/>
          </w:tcPr>
          <w:p w14:paraId="4C058DF2" w14:textId="77777777" w:rsidR="00D54EF4" w:rsidRDefault="00957D41">
            <w:pPr>
              <w:keepNext/>
              <w:keepLines/>
              <w:spacing w:after="0" w:line="240" w:lineRule="auto"/>
            </w:pPr>
            <w:r>
              <w:rPr>
                <w:sz w:val="18"/>
              </w:rPr>
              <w:t>02</w:t>
            </w:r>
          </w:p>
        </w:tc>
        <w:tc>
          <w:tcPr>
            <w:tcW w:w="3180" w:type="dxa"/>
            <w:tcMar>
              <w:top w:w="0" w:type="dxa"/>
              <w:bottom w:w="0" w:type="dxa"/>
            </w:tcMar>
            <w:vAlign w:val="center"/>
          </w:tcPr>
          <w:p w14:paraId="0C2366F1" w14:textId="77777777" w:rsidR="00D54EF4" w:rsidRDefault="00957D41">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4530DFDA" w14:textId="77777777" w:rsidR="00D54EF4" w:rsidRDefault="00957D41">
            <w:pPr>
              <w:keepNext/>
              <w:keepLines/>
              <w:spacing w:after="0" w:line="240" w:lineRule="auto"/>
            </w:pPr>
            <w:r>
              <w:rPr>
                <w:sz w:val="18"/>
              </w:rPr>
              <w:t>02</w:t>
            </w:r>
          </w:p>
        </w:tc>
        <w:tc>
          <w:tcPr>
            <w:tcW w:w="1860" w:type="dxa"/>
            <w:tcMar>
              <w:top w:w="0" w:type="dxa"/>
              <w:bottom w:w="0" w:type="dxa"/>
            </w:tcMar>
            <w:vAlign w:val="center"/>
          </w:tcPr>
          <w:p w14:paraId="7F087FCA" w14:textId="77777777" w:rsidR="00D54EF4" w:rsidRDefault="00957D41">
            <w:pPr>
              <w:keepNext/>
              <w:keepLines/>
              <w:spacing w:after="0" w:line="240" w:lineRule="auto"/>
              <w:jc w:val="right"/>
            </w:pPr>
            <w:r>
              <w:rPr>
                <w:sz w:val="18"/>
              </w:rPr>
              <w:t>3.896.540,72</w:t>
            </w:r>
          </w:p>
        </w:tc>
        <w:tc>
          <w:tcPr>
            <w:tcW w:w="1860" w:type="dxa"/>
            <w:tcMar>
              <w:top w:w="0" w:type="dxa"/>
              <w:bottom w:w="0" w:type="dxa"/>
            </w:tcMar>
            <w:vAlign w:val="center"/>
          </w:tcPr>
          <w:p w14:paraId="041B612C" w14:textId="77777777" w:rsidR="00D54EF4" w:rsidRDefault="00957D41">
            <w:pPr>
              <w:keepNext/>
              <w:keepLines/>
              <w:spacing w:after="0" w:line="240" w:lineRule="auto"/>
              <w:jc w:val="right"/>
            </w:pPr>
            <w:r>
              <w:rPr>
                <w:sz w:val="18"/>
              </w:rPr>
              <w:t>5.467.643,16</w:t>
            </w:r>
          </w:p>
        </w:tc>
        <w:tc>
          <w:tcPr>
            <w:tcW w:w="700" w:type="dxa"/>
            <w:tcMar>
              <w:top w:w="0" w:type="dxa"/>
              <w:bottom w:w="0" w:type="dxa"/>
            </w:tcMar>
            <w:vAlign w:val="center"/>
          </w:tcPr>
          <w:p w14:paraId="296B80F8" w14:textId="77777777" w:rsidR="00D54EF4" w:rsidRDefault="00957D41">
            <w:pPr>
              <w:keepNext/>
              <w:keepLines/>
              <w:spacing w:after="0" w:line="240" w:lineRule="auto"/>
              <w:jc w:val="right"/>
            </w:pPr>
            <w:r>
              <w:rPr>
                <w:sz w:val="18"/>
              </w:rPr>
              <w:t>140,3</w:t>
            </w:r>
          </w:p>
        </w:tc>
      </w:tr>
    </w:tbl>
    <w:p w14:paraId="498A7275" w14:textId="77777777" w:rsidR="00D54EF4" w:rsidRDefault="00D54EF4" w:rsidP="00957D41">
      <w:pPr>
        <w:spacing w:after="0"/>
        <w:jc w:val="both"/>
      </w:pPr>
    </w:p>
    <w:p w14:paraId="5F55C1A0" w14:textId="77777777" w:rsidR="00D54EF4" w:rsidRDefault="00957D41" w:rsidP="00957D41">
      <w:pPr>
        <w:jc w:val="both"/>
      </w:pPr>
      <w:r>
        <w:t>U izvještajnom razdoblju dolazi do povećanja proizvedene dugotrajne imovine za 40% u odnosu na prethodnu godinu najvećim dijelom zbog stavljanja u uporabu izgrađenu riječnu marinu u Batini ukupne vrijednosti 1.354.784,45 eura. Preostalo povećanje se odnosi na ulaganja nastala na postojećim pristaništima od kojih je najznačajnije ulaganje na putničkom pristaništu u Iloku (izgradnja parkirališta i dodatne infrastrukture).</w:t>
      </w:r>
    </w:p>
    <w:p w14:paraId="77F21022" w14:textId="77777777" w:rsidR="00D54EF4" w:rsidRDefault="00D54EF4"/>
    <w:p w14:paraId="1C61CF9B" w14:textId="77777777" w:rsidR="00D54EF4" w:rsidRDefault="00957D41">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49C352B5" w14:textId="77777777">
        <w:trPr>
          <w:cantSplit/>
        </w:trPr>
        <w:tc>
          <w:tcPr>
            <w:tcW w:w="700" w:type="dxa"/>
            <w:shd w:val="clear" w:color="auto" w:fill="E7F0F9"/>
            <w:tcMar>
              <w:top w:w="0" w:type="dxa"/>
              <w:bottom w:w="0" w:type="dxa"/>
            </w:tcMar>
            <w:vAlign w:val="center"/>
          </w:tcPr>
          <w:p w14:paraId="6F662C78"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C4FC84"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836C9"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A86E6"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160323"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8350E5" w14:textId="77777777" w:rsidR="00D54EF4" w:rsidRDefault="00957D41">
            <w:pPr>
              <w:keepNext/>
              <w:keepLines/>
              <w:spacing w:after="0" w:line="240" w:lineRule="auto"/>
              <w:jc w:val="center"/>
            </w:pPr>
            <w:r>
              <w:rPr>
                <w:b/>
                <w:sz w:val="18"/>
              </w:rPr>
              <w:t>Indeks (%)</w:t>
            </w:r>
          </w:p>
        </w:tc>
      </w:tr>
      <w:tr w:rsidR="00D54EF4" w14:paraId="1499B0EC" w14:textId="77777777">
        <w:trPr>
          <w:cantSplit/>
          <w:trHeight w:val="560"/>
        </w:trPr>
        <w:tc>
          <w:tcPr>
            <w:tcW w:w="700" w:type="dxa"/>
            <w:tcMar>
              <w:top w:w="0" w:type="dxa"/>
              <w:bottom w:w="0" w:type="dxa"/>
            </w:tcMar>
            <w:vAlign w:val="center"/>
          </w:tcPr>
          <w:p w14:paraId="6548CAC9" w14:textId="77777777" w:rsidR="00D54EF4" w:rsidRDefault="00957D41">
            <w:pPr>
              <w:keepNext/>
              <w:keepLines/>
              <w:spacing w:after="0" w:line="240" w:lineRule="auto"/>
            </w:pPr>
            <w:r>
              <w:rPr>
                <w:sz w:val="18"/>
              </w:rPr>
              <w:t>05</w:t>
            </w:r>
          </w:p>
        </w:tc>
        <w:tc>
          <w:tcPr>
            <w:tcW w:w="3180" w:type="dxa"/>
            <w:tcMar>
              <w:top w:w="0" w:type="dxa"/>
              <w:bottom w:w="0" w:type="dxa"/>
            </w:tcMar>
            <w:vAlign w:val="center"/>
          </w:tcPr>
          <w:p w14:paraId="3498637A" w14:textId="77777777" w:rsidR="00D54EF4" w:rsidRDefault="00957D41">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552D0CB8" w14:textId="77777777" w:rsidR="00D54EF4" w:rsidRDefault="00957D41">
            <w:pPr>
              <w:keepNext/>
              <w:keepLines/>
              <w:spacing w:after="0" w:line="240" w:lineRule="auto"/>
            </w:pPr>
            <w:r>
              <w:rPr>
                <w:sz w:val="18"/>
              </w:rPr>
              <w:t>05</w:t>
            </w:r>
          </w:p>
        </w:tc>
        <w:tc>
          <w:tcPr>
            <w:tcW w:w="1860" w:type="dxa"/>
            <w:tcMar>
              <w:top w:w="0" w:type="dxa"/>
              <w:bottom w:w="0" w:type="dxa"/>
            </w:tcMar>
            <w:vAlign w:val="center"/>
          </w:tcPr>
          <w:p w14:paraId="3C4DE109" w14:textId="77777777" w:rsidR="00D54EF4" w:rsidRDefault="00957D41">
            <w:pPr>
              <w:keepNext/>
              <w:keepLines/>
              <w:spacing w:after="0" w:line="240" w:lineRule="auto"/>
              <w:jc w:val="right"/>
            </w:pPr>
            <w:r>
              <w:rPr>
                <w:sz w:val="18"/>
              </w:rPr>
              <w:t>6.400.503,66</w:t>
            </w:r>
          </w:p>
        </w:tc>
        <w:tc>
          <w:tcPr>
            <w:tcW w:w="1860" w:type="dxa"/>
            <w:tcMar>
              <w:top w:w="0" w:type="dxa"/>
              <w:bottom w:w="0" w:type="dxa"/>
            </w:tcMar>
            <w:vAlign w:val="center"/>
          </w:tcPr>
          <w:p w14:paraId="12BEE938" w14:textId="77777777" w:rsidR="00D54EF4" w:rsidRDefault="00957D41">
            <w:pPr>
              <w:keepNext/>
              <w:keepLines/>
              <w:spacing w:after="0" w:line="240" w:lineRule="auto"/>
              <w:jc w:val="right"/>
            </w:pPr>
            <w:r>
              <w:rPr>
                <w:sz w:val="18"/>
              </w:rPr>
              <w:t>9.159.147,09</w:t>
            </w:r>
          </w:p>
        </w:tc>
        <w:tc>
          <w:tcPr>
            <w:tcW w:w="700" w:type="dxa"/>
            <w:tcMar>
              <w:top w:w="0" w:type="dxa"/>
              <w:bottom w:w="0" w:type="dxa"/>
            </w:tcMar>
            <w:vAlign w:val="center"/>
          </w:tcPr>
          <w:p w14:paraId="4105BFBE" w14:textId="77777777" w:rsidR="00D54EF4" w:rsidRDefault="00957D41">
            <w:pPr>
              <w:keepNext/>
              <w:keepLines/>
              <w:spacing w:after="0" w:line="240" w:lineRule="auto"/>
              <w:jc w:val="right"/>
            </w:pPr>
            <w:r>
              <w:rPr>
                <w:sz w:val="18"/>
              </w:rPr>
              <w:t>143,1</w:t>
            </w:r>
          </w:p>
        </w:tc>
      </w:tr>
    </w:tbl>
    <w:p w14:paraId="6724F97E" w14:textId="77777777" w:rsidR="00D54EF4" w:rsidRDefault="00D54EF4">
      <w:pPr>
        <w:spacing w:after="0"/>
      </w:pPr>
    </w:p>
    <w:p w14:paraId="1084339D" w14:textId="77777777" w:rsidR="00D54EF4" w:rsidRDefault="00957D41" w:rsidP="00957D41">
      <w:pPr>
        <w:jc w:val="both"/>
      </w:pPr>
      <w:r>
        <w:t>Imovina u pripremi uglavnom se sastoji od projektne dokumentacije (idejna dokumentacija, studije utjecaja na okoliš, geodetski i geotehnički radovi, projektiranje glavnog projekta) za projekt izgradnje „Nove luke istok“ u Vukovaru, za izgradnju riječne marine Otok sportova u Vukovaru, izgradnju pristaništa Vučedol u Vukovaru, cjelokupne projektne dokumentacije za izgradnju plutajućih objekata u Iloku i Vukovaru, pristaništa u Vinkovcima te popratnih geodetskih elaborata za navedena. Ujedno, značajan udio čini cjelovita projektna dokumentacija uz glavni projekt i sve potrebe dozvole u sklopu CEF projekta sufinanciranog EU sredstvima „Priprema projektne dokumentacije za izgradnju vertikalne obale u luci Vukovar“. Imovina u pripremi sastoji se i od izgrađenih pristaništa u Nijemcima i Andrijaševcima koja još nisu u uporabi. Povećanje od 43% u promatranom razdoblju nastalo je zbog troškova građevinskih radova za izgradnju riječne marine Marina na području novog akvatorija u Vukovaru, izgradnje putničkog pristaništa na Vučedolu te nove upravne zgrade na lučkom području. </w:t>
      </w:r>
    </w:p>
    <w:p w14:paraId="3ABCC389" w14:textId="77777777" w:rsidR="00D54EF4" w:rsidRDefault="00D54EF4" w:rsidP="00957D41">
      <w:pPr>
        <w:jc w:val="both"/>
      </w:pPr>
    </w:p>
    <w:p w14:paraId="76A62CC4" w14:textId="77777777" w:rsidR="00D54EF4" w:rsidRDefault="00957D4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4C3D46A6" w14:textId="77777777">
        <w:trPr>
          <w:cantSplit/>
        </w:trPr>
        <w:tc>
          <w:tcPr>
            <w:tcW w:w="700" w:type="dxa"/>
            <w:shd w:val="clear" w:color="auto" w:fill="E7F0F9"/>
            <w:tcMar>
              <w:top w:w="0" w:type="dxa"/>
              <w:bottom w:w="0" w:type="dxa"/>
            </w:tcMar>
            <w:vAlign w:val="center"/>
          </w:tcPr>
          <w:p w14:paraId="60105EC7"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10D0A2"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0B69B"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A5DE8"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C16207"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DA6ABA" w14:textId="77777777" w:rsidR="00D54EF4" w:rsidRDefault="00957D41">
            <w:pPr>
              <w:keepNext/>
              <w:keepLines/>
              <w:spacing w:after="0" w:line="240" w:lineRule="auto"/>
              <w:jc w:val="center"/>
            </w:pPr>
            <w:r>
              <w:rPr>
                <w:b/>
                <w:sz w:val="18"/>
              </w:rPr>
              <w:t>Indeks (%)</w:t>
            </w:r>
          </w:p>
        </w:tc>
      </w:tr>
      <w:tr w:rsidR="00D54EF4" w14:paraId="7C0F86A3" w14:textId="77777777">
        <w:trPr>
          <w:cantSplit/>
          <w:trHeight w:val="560"/>
        </w:trPr>
        <w:tc>
          <w:tcPr>
            <w:tcW w:w="700" w:type="dxa"/>
            <w:tcMar>
              <w:top w:w="0" w:type="dxa"/>
              <w:bottom w:w="0" w:type="dxa"/>
            </w:tcMar>
            <w:vAlign w:val="center"/>
          </w:tcPr>
          <w:p w14:paraId="65CC297E" w14:textId="77777777" w:rsidR="00D54EF4" w:rsidRDefault="00957D41">
            <w:pPr>
              <w:keepNext/>
              <w:keepLines/>
              <w:spacing w:after="0" w:line="240" w:lineRule="auto"/>
            </w:pPr>
            <w:r>
              <w:rPr>
                <w:sz w:val="18"/>
              </w:rPr>
              <w:t>11</w:t>
            </w:r>
          </w:p>
        </w:tc>
        <w:tc>
          <w:tcPr>
            <w:tcW w:w="3180" w:type="dxa"/>
            <w:tcMar>
              <w:top w:w="0" w:type="dxa"/>
              <w:bottom w:w="0" w:type="dxa"/>
            </w:tcMar>
            <w:vAlign w:val="center"/>
          </w:tcPr>
          <w:p w14:paraId="6460A2C9" w14:textId="77777777" w:rsidR="00D54EF4" w:rsidRDefault="00957D41">
            <w:pPr>
              <w:keepNext/>
              <w:keepLines/>
              <w:spacing w:after="0" w:line="240" w:lineRule="auto"/>
            </w:pPr>
            <w:r>
              <w:rPr>
                <w:sz w:val="18"/>
              </w:rPr>
              <w:t>Novac u banci i blagajni (šifre 111+112 do 114)</w:t>
            </w:r>
          </w:p>
        </w:tc>
        <w:tc>
          <w:tcPr>
            <w:tcW w:w="700" w:type="dxa"/>
            <w:tcMar>
              <w:top w:w="0" w:type="dxa"/>
              <w:bottom w:w="0" w:type="dxa"/>
            </w:tcMar>
            <w:vAlign w:val="center"/>
          </w:tcPr>
          <w:p w14:paraId="6A51D4F4" w14:textId="77777777" w:rsidR="00D54EF4" w:rsidRDefault="00957D41">
            <w:pPr>
              <w:keepNext/>
              <w:keepLines/>
              <w:spacing w:after="0" w:line="240" w:lineRule="auto"/>
            </w:pPr>
            <w:r>
              <w:rPr>
                <w:sz w:val="18"/>
              </w:rPr>
              <w:t>11</w:t>
            </w:r>
          </w:p>
        </w:tc>
        <w:tc>
          <w:tcPr>
            <w:tcW w:w="1860" w:type="dxa"/>
            <w:tcMar>
              <w:top w:w="0" w:type="dxa"/>
              <w:bottom w:w="0" w:type="dxa"/>
            </w:tcMar>
            <w:vAlign w:val="center"/>
          </w:tcPr>
          <w:p w14:paraId="60638FF9"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66971C8B" w14:textId="77777777" w:rsidR="00D54EF4" w:rsidRDefault="00957D41">
            <w:pPr>
              <w:keepNext/>
              <w:keepLines/>
              <w:spacing w:after="0" w:line="240" w:lineRule="auto"/>
              <w:jc w:val="right"/>
            </w:pPr>
            <w:r>
              <w:rPr>
                <w:sz w:val="18"/>
              </w:rPr>
              <w:t>0,00</w:t>
            </w:r>
          </w:p>
        </w:tc>
        <w:tc>
          <w:tcPr>
            <w:tcW w:w="700" w:type="dxa"/>
            <w:tcMar>
              <w:top w:w="0" w:type="dxa"/>
              <w:bottom w:w="0" w:type="dxa"/>
            </w:tcMar>
            <w:vAlign w:val="center"/>
          </w:tcPr>
          <w:p w14:paraId="4E2EFF93" w14:textId="77777777" w:rsidR="00D54EF4" w:rsidRDefault="00957D41">
            <w:pPr>
              <w:keepNext/>
              <w:keepLines/>
              <w:spacing w:after="0" w:line="240" w:lineRule="auto"/>
              <w:jc w:val="right"/>
            </w:pPr>
            <w:r>
              <w:rPr>
                <w:sz w:val="18"/>
              </w:rPr>
              <w:t>-</w:t>
            </w:r>
          </w:p>
        </w:tc>
      </w:tr>
    </w:tbl>
    <w:p w14:paraId="7AAD0C0E" w14:textId="77777777" w:rsidR="00D54EF4" w:rsidRDefault="00D54EF4">
      <w:pPr>
        <w:spacing w:after="0"/>
      </w:pPr>
    </w:p>
    <w:p w14:paraId="5BB46434" w14:textId="77777777" w:rsidR="00D54EF4" w:rsidRDefault="00957D41" w:rsidP="00957D41">
      <w:pPr>
        <w:jc w:val="both"/>
      </w:pPr>
      <w:r>
        <w:t>Javna ustanova Lučka uprava Vukovar sav platni promet isključivo izvršava kroz državnu riznicu stoga nema promet na kontima skupine 11.</w:t>
      </w:r>
    </w:p>
    <w:p w14:paraId="3275071E" w14:textId="77777777" w:rsidR="00D54EF4" w:rsidRDefault="00D54EF4"/>
    <w:p w14:paraId="4E9ED6C6" w14:textId="77777777" w:rsidR="00D54EF4" w:rsidRDefault="00957D4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4274A36A" w14:textId="77777777">
        <w:trPr>
          <w:cantSplit/>
        </w:trPr>
        <w:tc>
          <w:tcPr>
            <w:tcW w:w="700" w:type="dxa"/>
            <w:shd w:val="clear" w:color="auto" w:fill="E7F0F9"/>
            <w:tcMar>
              <w:top w:w="0" w:type="dxa"/>
              <w:bottom w:w="0" w:type="dxa"/>
            </w:tcMar>
            <w:vAlign w:val="center"/>
          </w:tcPr>
          <w:p w14:paraId="3EA251B5"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5562E"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682336"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BBC3D"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114009"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D264E0" w14:textId="77777777" w:rsidR="00D54EF4" w:rsidRDefault="00957D41">
            <w:pPr>
              <w:keepNext/>
              <w:keepLines/>
              <w:spacing w:after="0" w:line="240" w:lineRule="auto"/>
              <w:jc w:val="center"/>
            </w:pPr>
            <w:r>
              <w:rPr>
                <w:b/>
                <w:sz w:val="18"/>
              </w:rPr>
              <w:t>Indeks (%)</w:t>
            </w:r>
          </w:p>
        </w:tc>
      </w:tr>
      <w:tr w:rsidR="00D54EF4" w14:paraId="774E3B71" w14:textId="77777777">
        <w:trPr>
          <w:cantSplit/>
          <w:trHeight w:val="560"/>
        </w:trPr>
        <w:tc>
          <w:tcPr>
            <w:tcW w:w="700" w:type="dxa"/>
            <w:tcMar>
              <w:top w:w="0" w:type="dxa"/>
              <w:bottom w:w="0" w:type="dxa"/>
            </w:tcMar>
            <w:vAlign w:val="center"/>
          </w:tcPr>
          <w:p w14:paraId="0FAE02A3" w14:textId="77777777" w:rsidR="00D54EF4" w:rsidRDefault="00957D41">
            <w:pPr>
              <w:keepNext/>
              <w:keepLines/>
              <w:spacing w:after="0" w:line="240" w:lineRule="auto"/>
            </w:pPr>
            <w:r>
              <w:rPr>
                <w:sz w:val="18"/>
              </w:rPr>
              <w:t>12</w:t>
            </w:r>
          </w:p>
        </w:tc>
        <w:tc>
          <w:tcPr>
            <w:tcW w:w="3180" w:type="dxa"/>
            <w:tcMar>
              <w:top w:w="0" w:type="dxa"/>
              <w:bottom w:w="0" w:type="dxa"/>
            </w:tcMar>
            <w:vAlign w:val="center"/>
          </w:tcPr>
          <w:p w14:paraId="21A7D4A0" w14:textId="77777777" w:rsidR="00D54EF4" w:rsidRDefault="00957D41">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3E94B473" w14:textId="77777777" w:rsidR="00D54EF4" w:rsidRDefault="00957D41">
            <w:pPr>
              <w:keepNext/>
              <w:keepLines/>
              <w:spacing w:after="0" w:line="240" w:lineRule="auto"/>
            </w:pPr>
            <w:r>
              <w:rPr>
                <w:sz w:val="18"/>
              </w:rPr>
              <w:t>12</w:t>
            </w:r>
          </w:p>
        </w:tc>
        <w:tc>
          <w:tcPr>
            <w:tcW w:w="1860" w:type="dxa"/>
            <w:tcMar>
              <w:top w:w="0" w:type="dxa"/>
              <w:bottom w:w="0" w:type="dxa"/>
            </w:tcMar>
            <w:vAlign w:val="center"/>
          </w:tcPr>
          <w:p w14:paraId="69DB6DB3" w14:textId="77777777" w:rsidR="00D54EF4" w:rsidRDefault="00957D41">
            <w:pPr>
              <w:keepNext/>
              <w:keepLines/>
              <w:spacing w:after="0" w:line="240" w:lineRule="auto"/>
              <w:jc w:val="right"/>
            </w:pPr>
            <w:r>
              <w:rPr>
                <w:sz w:val="18"/>
              </w:rPr>
              <w:t>446.578,88</w:t>
            </w:r>
          </w:p>
        </w:tc>
        <w:tc>
          <w:tcPr>
            <w:tcW w:w="1860" w:type="dxa"/>
            <w:tcMar>
              <w:top w:w="0" w:type="dxa"/>
              <w:bottom w:w="0" w:type="dxa"/>
            </w:tcMar>
            <w:vAlign w:val="center"/>
          </w:tcPr>
          <w:p w14:paraId="220C68A3" w14:textId="77777777" w:rsidR="00D54EF4" w:rsidRDefault="00957D41">
            <w:pPr>
              <w:keepNext/>
              <w:keepLines/>
              <w:spacing w:after="0" w:line="240" w:lineRule="auto"/>
              <w:jc w:val="right"/>
            </w:pPr>
            <w:r>
              <w:rPr>
                <w:sz w:val="18"/>
              </w:rPr>
              <w:t>452.669,18</w:t>
            </w:r>
          </w:p>
        </w:tc>
        <w:tc>
          <w:tcPr>
            <w:tcW w:w="700" w:type="dxa"/>
            <w:tcMar>
              <w:top w:w="0" w:type="dxa"/>
              <w:bottom w:w="0" w:type="dxa"/>
            </w:tcMar>
            <w:vAlign w:val="center"/>
          </w:tcPr>
          <w:p w14:paraId="5116EB50" w14:textId="77777777" w:rsidR="00D54EF4" w:rsidRDefault="00957D41">
            <w:pPr>
              <w:keepNext/>
              <w:keepLines/>
              <w:spacing w:after="0" w:line="240" w:lineRule="auto"/>
              <w:jc w:val="right"/>
            </w:pPr>
            <w:r>
              <w:rPr>
                <w:sz w:val="18"/>
              </w:rPr>
              <w:t>101,4</w:t>
            </w:r>
          </w:p>
        </w:tc>
      </w:tr>
    </w:tbl>
    <w:p w14:paraId="0F4B6706" w14:textId="77777777" w:rsidR="00D54EF4" w:rsidRDefault="00D54EF4">
      <w:pPr>
        <w:spacing w:after="0"/>
      </w:pPr>
    </w:p>
    <w:p w14:paraId="5ABC0627" w14:textId="77777777" w:rsidR="00D54EF4" w:rsidRDefault="00957D41" w:rsidP="00957D41">
      <w:pPr>
        <w:jc w:val="both"/>
      </w:pPr>
      <w:r>
        <w:t xml:space="preserve">Skupina računa 12 u ukupnom iznosu od 452.669,18 eura odnosi se na potraživanja za plaćene predujmove u iznosu od 452.524,77 eura te potraživanja za naknade koje se refundiraju (bolovanje na teret HZZO) u iznosu od 144,41 eura. Predujmovi se sastoje od predujma za izgradnju novog susretnog postrojenja (trafostanice) u sklopu projekta “Priprema projektne dokumentacije za izgradnju vertikalne obale u luci Vukovar” u ukupnom iznosu od 442.972,90 </w:t>
      </w:r>
      <w:r>
        <w:lastRenderedPageBreak/>
        <w:t>eura, predujma za izgradnju elektroenergetskih objekata potrebnih za priključenje građevine na lokaciji Vučedol u iznosu od 4.927,33 eura, za pristan Otok športova Vukovar u iznosu od 1.030,29 eura, predujma za izdavanje elaborata optimalnog tehničkog rješenja za građevinu Opatovac (Ilok) u iznosu od 3.312,50 eura te za blagdanske poklon pakete za poslovne partnere u iznosu od 281,75 eura. </w:t>
      </w:r>
    </w:p>
    <w:p w14:paraId="7A44F01D" w14:textId="77777777" w:rsidR="00D54EF4" w:rsidRDefault="00D54EF4"/>
    <w:p w14:paraId="41BC8298" w14:textId="77777777" w:rsidR="00D54EF4" w:rsidRDefault="00957D4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00291460" w14:textId="77777777">
        <w:trPr>
          <w:cantSplit/>
        </w:trPr>
        <w:tc>
          <w:tcPr>
            <w:tcW w:w="700" w:type="dxa"/>
            <w:shd w:val="clear" w:color="auto" w:fill="E7F0F9"/>
            <w:tcMar>
              <w:top w:w="0" w:type="dxa"/>
              <w:bottom w:w="0" w:type="dxa"/>
            </w:tcMar>
            <w:vAlign w:val="center"/>
          </w:tcPr>
          <w:p w14:paraId="77EAD702"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47671C"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B488E"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B4FF2"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A6C104"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47A8F2" w14:textId="77777777" w:rsidR="00D54EF4" w:rsidRDefault="00957D41">
            <w:pPr>
              <w:keepNext/>
              <w:keepLines/>
              <w:spacing w:after="0" w:line="240" w:lineRule="auto"/>
              <w:jc w:val="center"/>
            </w:pPr>
            <w:r>
              <w:rPr>
                <w:b/>
                <w:sz w:val="18"/>
              </w:rPr>
              <w:t>Indeks (%)</w:t>
            </w:r>
          </w:p>
        </w:tc>
      </w:tr>
      <w:tr w:rsidR="00D54EF4" w14:paraId="4BE3B18A" w14:textId="77777777">
        <w:trPr>
          <w:cantSplit/>
          <w:trHeight w:val="560"/>
        </w:trPr>
        <w:tc>
          <w:tcPr>
            <w:tcW w:w="700" w:type="dxa"/>
            <w:tcMar>
              <w:top w:w="0" w:type="dxa"/>
              <w:bottom w:w="0" w:type="dxa"/>
            </w:tcMar>
            <w:vAlign w:val="center"/>
          </w:tcPr>
          <w:p w14:paraId="42FF4CCA" w14:textId="77777777" w:rsidR="00D54EF4" w:rsidRDefault="00957D41">
            <w:pPr>
              <w:keepNext/>
              <w:keepLines/>
              <w:spacing w:after="0" w:line="240" w:lineRule="auto"/>
            </w:pPr>
            <w:r>
              <w:rPr>
                <w:sz w:val="18"/>
              </w:rPr>
              <w:t>16</w:t>
            </w:r>
          </w:p>
        </w:tc>
        <w:tc>
          <w:tcPr>
            <w:tcW w:w="3180" w:type="dxa"/>
            <w:tcMar>
              <w:top w:w="0" w:type="dxa"/>
              <w:bottom w:w="0" w:type="dxa"/>
            </w:tcMar>
            <w:vAlign w:val="center"/>
          </w:tcPr>
          <w:p w14:paraId="5731B7C7" w14:textId="77777777" w:rsidR="00D54EF4" w:rsidRDefault="00957D4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9641FB7" w14:textId="77777777" w:rsidR="00D54EF4" w:rsidRDefault="00957D41">
            <w:pPr>
              <w:keepNext/>
              <w:keepLines/>
              <w:spacing w:after="0" w:line="240" w:lineRule="auto"/>
            </w:pPr>
            <w:r>
              <w:rPr>
                <w:sz w:val="18"/>
              </w:rPr>
              <w:t>16</w:t>
            </w:r>
          </w:p>
        </w:tc>
        <w:tc>
          <w:tcPr>
            <w:tcW w:w="1860" w:type="dxa"/>
            <w:tcMar>
              <w:top w:w="0" w:type="dxa"/>
              <w:bottom w:w="0" w:type="dxa"/>
            </w:tcMar>
            <w:vAlign w:val="center"/>
          </w:tcPr>
          <w:p w14:paraId="012181D5" w14:textId="77777777" w:rsidR="00D54EF4" w:rsidRDefault="00957D41">
            <w:pPr>
              <w:keepNext/>
              <w:keepLines/>
              <w:spacing w:after="0" w:line="240" w:lineRule="auto"/>
              <w:jc w:val="right"/>
            </w:pPr>
            <w:r>
              <w:rPr>
                <w:sz w:val="18"/>
              </w:rPr>
              <w:t>702.195,52</w:t>
            </w:r>
          </w:p>
        </w:tc>
        <w:tc>
          <w:tcPr>
            <w:tcW w:w="1860" w:type="dxa"/>
            <w:tcMar>
              <w:top w:w="0" w:type="dxa"/>
              <w:bottom w:w="0" w:type="dxa"/>
            </w:tcMar>
            <w:vAlign w:val="center"/>
          </w:tcPr>
          <w:p w14:paraId="7D7E6D64" w14:textId="77777777" w:rsidR="00D54EF4" w:rsidRDefault="00957D41">
            <w:pPr>
              <w:keepNext/>
              <w:keepLines/>
              <w:spacing w:after="0" w:line="240" w:lineRule="auto"/>
              <w:jc w:val="right"/>
            </w:pPr>
            <w:r>
              <w:rPr>
                <w:sz w:val="18"/>
              </w:rPr>
              <w:t>816.724,27</w:t>
            </w:r>
          </w:p>
        </w:tc>
        <w:tc>
          <w:tcPr>
            <w:tcW w:w="700" w:type="dxa"/>
            <w:tcMar>
              <w:top w:w="0" w:type="dxa"/>
              <w:bottom w:w="0" w:type="dxa"/>
            </w:tcMar>
            <w:vAlign w:val="center"/>
          </w:tcPr>
          <w:p w14:paraId="76378B30" w14:textId="77777777" w:rsidR="00D54EF4" w:rsidRDefault="00957D41">
            <w:pPr>
              <w:keepNext/>
              <w:keepLines/>
              <w:spacing w:after="0" w:line="240" w:lineRule="auto"/>
              <w:jc w:val="right"/>
            </w:pPr>
            <w:r>
              <w:rPr>
                <w:sz w:val="18"/>
              </w:rPr>
              <w:t>116,3</w:t>
            </w:r>
          </w:p>
        </w:tc>
      </w:tr>
    </w:tbl>
    <w:p w14:paraId="791ED3C5" w14:textId="77777777" w:rsidR="00D54EF4" w:rsidRDefault="00D54EF4">
      <w:pPr>
        <w:spacing w:after="0"/>
      </w:pPr>
    </w:p>
    <w:p w14:paraId="2EAF2833" w14:textId="77777777" w:rsidR="00D54EF4" w:rsidRDefault="00957D41" w:rsidP="00957D41">
      <w:pPr>
        <w:jc w:val="both"/>
      </w:pPr>
      <w:r>
        <w:t>Iskazana potraživanja za prihode poslovanja sastoje se od potraživanja za pomoći od međunarodnih organizacija te institucija i tijela u ukupnom iznosu od 373.017,28 eura, a koja se odnose na završen Interreg i tri CEF projekta od kojih su dva završena, a za koje se očekuje refundacija u nadolazećem razdoblju. Potraživanja za pomoći temeljem prijenosa EU odnose se na preostala potraživanja u sklopu aktualnog projekta Interreg „IPA CBC Hrvatska-Srbija – Intervencije na Dunavu" odnosno program prekogranične suradnje u iznosu od 10.439,74 eura. Potraživanja za prihode od imovine sastoje se od potraživanja za dane koncesije u iznosu od 64.467,37 eura, od kojih su sva dospjela. Potraživanja za upravne i administrativne prihode u potpunosti se odnose na potraživanja za lučke pristojbe za uporabu obale u iznosu od 108.363,18 eura, od kojih su dospjela 40.435,59 eura. Potraživanja za prihode od prodaje proizvoda i robe te pruženih usluga u potpunosti se odnose na potraživanja za prihode od zakupa prostora u iznosu od 2.522,73 eura, od kojih su dospjela 1.188,47 eura. </w:t>
      </w:r>
    </w:p>
    <w:p w14:paraId="10A5FB48" w14:textId="77777777" w:rsidR="00D54EF4" w:rsidRDefault="00957D41" w:rsidP="00957D41">
      <w:pPr>
        <w:jc w:val="both"/>
      </w:pPr>
      <w:r>
        <w:t>Na kraju izvještajnog razdoblja u poslovnim knjigama Lučke uprave Vukovar ne postoje potraživanja za koja je potrebno provesti ispravak vrijednosti. </w:t>
      </w:r>
    </w:p>
    <w:p w14:paraId="4AA5A8F6" w14:textId="77777777" w:rsidR="00D54EF4" w:rsidRDefault="00D54EF4"/>
    <w:p w14:paraId="504FBADC" w14:textId="77777777" w:rsidR="00D54EF4" w:rsidRDefault="00957D4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2907AA9F" w14:textId="77777777">
        <w:trPr>
          <w:cantSplit/>
        </w:trPr>
        <w:tc>
          <w:tcPr>
            <w:tcW w:w="700" w:type="dxa"/>
            <w:shd w:val="clear" w:color="auto" w:fill="E7F0F9"/>
            <w:tcMar>
              <w:top w:w="0" w:type="dxa"/>
              <w:bottom w:w="0" w:type="dxa"/>
            </w:tcMar>
            <w:vAlign w:val="center"/>
          </w:tcPr>
          <w:p w14:paraId="1DC06D6E"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32D0D3"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233E1"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CF0B7"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7B7C3D"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5A0F3E" w14:textId="77777777" w:rsidR="00D54EF4" w:rsidRDefault="00957D41">
            <w:pPr>
              <w:keepNext/>
              <w:keepLines/>
              <w:spacing w:after="0" w:line="240" w:lineRule="auto"/>
              <w:jc w:val="center"/>
            </w:pPr>
            <w:r>
              <w:rPr>
                <w:b/>
                <w:sz w:val="18"/>
              </w:rPr>
              <w:t>Indeks (%)</w:t>
            </w:r>
          </w:p>
        </w:tc>
      </w:tr>
      <w:tr w:rsidR="00D54EF4" w14:paraId="7D81E445" w14:textId="77777777">
        <w:trPr>
          <w:cantSplit/>
          <w:trHeight w:val="560"/>
        </w:trPr>
        <w:tc>
          <w:tcPr>
            <w:tcW w:w="700" w:type="dxa"/>
            <w:tcMar>
              <w:top w:w="0" w:type="dxa"/>
              <w:bottom w:w="0" w:type="dxa"/>
            </w:tcMar>
            <w:vAlign w:val="center"/>
          </w:tcPr>
          <w:p w14:paraId="26295B39" w14:textId="77777777" w:rsidR="00D54EF4" w:rsidRDefault="00957D41">
            <w:pPr>
              <w:keepNext/>
              <w:keepLines/>
              <w:spacing w:after="0" w:line="240" w:lineRule="auto"/>
            </w:pPr>
            <w:r>
              <w:rPr>
                <w:sz w:val="18"/>
              </w:rPr>
              <w:t>2</w:t>
            </w:r>
          </w:p>
        </w:tc>
        <w:tc>
          <w:tcPr>
            <w:tcW w:w="3180" w:type="dxa"/>
            <w:tcMar>
              <w:top w:w="0" w:type="dxa"/>
              <w:bottom w:w="0" w:type="dxa"/>
            </w:tcMar>
            <w:vAlign w:val="center"/>
          </w:tcPr>
          <w:p w14:paraId="1B9D5BCC" w14:textId="77777777" w:rsidR="00D54EF4" w:rsidRDefault="00957D41">
            <w:pPr>
              <w:keepNext/>
              <w:keepLines/>
              <w:spacing w:after="0" w:line="240" w:lineRule="auto"/>
            </w:pPr>
            <w:r>
              <w:rPr>
                <w:sz w:val="18"/>
              </w:rPr>
              <w:t>Obveze (šifre 23+24+25+26+27+29)</w:t>
            </w:r>
          </w:p>
        </w:tc>
        <w:tc>
          <w:tcPr>
            <w:tcW w:w="700" w:type="dxa"/>
            <w:tcMar>
              <w:top w:w="0" w:type="dxa"/>
              <w:bottom w:w="0" w:type="dxa"/>
            </w:tcMar>
            <w:vAlign w:val="center"/>
          </w:tcPr>
          <w:p w14:paraId="7ED75C86" w14:textId="77777777" w:rsidR="00D54EF4" w:rsidRDefault="00957D41">
            <w:pPr>
              <w:keepNext/>
              <w:keepLines/>
              <w:spacing w:after="0" w:line="240" w:lineRule="auto"/>
            </w:pPr>
            <w:r>
              <w:rPr>
                <w:sz w:val="18"/>
              </w:rPr>
              <w:t>2</w:t>
            </w:r>
          </w:p>
        </w:tc>
        <w:tc>
          <w:tcPr>
            <w:tcW w:w="1860" w:type="dxa"/>
            <w:tcMar>
              <w:top w:w="0" w:type="dxa"/>
              <w:bottom w:w="0" w:type="dxa"/>
            </w:tcMar>
            <w:vAlign w:val="center"/>
          </w:tcPr>
          <w:p w14:paraId="27058275" w14:textId="77777777" w:rsidR="00D54EF4" w:rsidRDefault="00957D41">
            <w:pPr>
              <w:keepNext/>
              <w:keepLines/>
              <w:spacing w:after="0" w:line="240" w:lineRule="auto"/>
              <w:jc w:val="right"/>
            </w:pPr>
            <w:r>
              <w:rPr>
                <w:sz w:val="18"/>
              </w:rPr>
              <w:t>50.643,63</w:t>
            </w:r>
          </w:p>
        </w:tc>
        <w:tc>
          <w:tcPr>
            <w:tcW w:w="1860" w:type="dxa"/>
            <w:tcMar>
              <w:top w:w="0" w:type="dxa"/>
              <w:bottom w:w="0" w:type="dxa"/>
            </w:tcMar>
            <w:vAlign w:val="center"/>
          </w:tcPr>
          <w:p w14:paraId="196A8D0F" w14:textId="77777777" w:rsidR="00D54EF4" w:rsidRDefault="00957D41">
            <w:pPr>
              <w:keepNext/>
              <w:keepLines/>
              <w:spacing w:after="0" w:line="240" w:lineRule="auto"/>
              <w:jc w:val="right"/>
            </w:pPr>
            <w:r>
              <w:rPr>
                <w:sz w:val="18"/>
              </w:rPr>
              <w:t>187.711,62</w:t>
            </w:r>
          </w:p>
        </w:tc>
        <w:tc>
          <w:tcPr>
            <w:tcW w:w="700" w:type="dxa"/>
            <w:tcMar>
              <w:top w:w="0" w:type="dxa"/>
              <w:bottom w:w="0" w:type="dxa"/>
            </w:tcMar>
            <w:vAlign w:val="center"/>
          </w:tcPr>
          <w:p w14:paraId="27B24806" w14:textId="77777777" w:rsidR="00D54EF4" w:rsidRDefault="00957D41">
            <w:pPr>
              <w:keepNext/>
              <w:keepLines/>
              <w:spacing w:after="0" w:line="240" w:lineRule="auto"/>
              <w:jc w:val="right"/>
            </w:pPr>
            <w:r>
              <w:rPr>
                <w:sz w:val="18"/>
              </w:rPr>
              <w:t>370,7</w:t>
            </w:r>
          </w:p>
        </w:tc>
      </w:tr>
    </w:tbl>
    <w:p w14:paraId="7B1F1FF4" w14:textId="77777777" w:rsidR="00D54EF4" w:rsidRDefault="00D54EF4">
      <w:pPr>
        <w:spacing w:after="0"/>
      </w:pPr>
    </w:p>
    <w:p w14:paraId="1A3201A3" w14:textId="746C3EBE" w:rsidR="00D54EF4" w:rsidRDefault="00957D41">
      <w:r>
        <w:t>-</w:t>
      </w:r>
    </w:p>
    <w:p w14:paraId="0B758D47" w14:textId="77777777" w:rsidR="00D54EF4" w:rsidRDefault="00957D41">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28E005F9" w14:textId="77777777">
        <w:trPr>
          <w:cantSplit/>
        </w:trPr>
        <w:tc>
          <w:tcPr>
            <w:tcW w:w="700" w:type="dxa"/>
            <w:shd w:val="clear" w:color="auto" w:fill="E7F0F9"/>
            <w:tcMar>
              <w:top w:w="0" w:type="dxa"/>
              <w:bottom w:w="0" w:type="dxa"/>
            </w:tcMar>
            <w:vAlign w:val="center"/>
          </w:tcPr>
          <w:p w14:paraId="37B9A613"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24F31A"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F223B"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11FF4"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D3AA7B"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401E88" w14:textId="77777777" w:rsidR="00D54EF4" w:rsidRDefault="00957D41">
            <w:pPr>
              <w:keepNext/>
              <w:keepLines/>
              <w:spacing w:after="0" w:line="240" w:lineRule="auto"/>
              <w:jc w:val="center"/>
            </w:pPr>
            <w:r>
              <w:rPr>
                <w:b/>
                <w:sz w:val="18"/>
              </w:rPr>
              <w:t>Indeks (%)</w:t>
            </w:r>
          </w:p>
        </w:tc>
      </w:tr>
      <w:tr w:rsidR="00D54EF4" w14:paraId="5AD13861" w14:textId="77777777">
        <w:trPr>
          <w:cantSplit/>
          <w:trHeight w:val="560"/>
        </w:trPr>
        <w:tc>
          <w:tcPr>
            <w:tcW w:w="700" w:type="dxa"/>
            <w:tcMar>
              <w:top w:w="0" w:type="dxa"/>
              <w:bottom w:w="0" w:type="dxa"/>
            </w:tcMar>
            <w:vAlign w:val="center"/>
          </w:tcPr>
          <w:p w14:paraId="3551EEA2" w14:textId="77777777" w:rsidR="00D54EF4" w:rsidRDefault="00957D41">
            <w:pPr>
              <w:keepNext/>
              <w:keepLines/>
              <w:spacing w:after="0" w:line="240" w:lineRule="auto"/>
            </w:pPr>
            <w:r>
              <w:rPr>
                <w:sz w:val="18"/>
              </w:rPr>
              <w:t>23</w:t>
            </w:r>
          </w:p>
        </w:tc>
        <w:tc>
          <w:tcPr>
            <w:tcW w:w="3180" w:type="dxa"/>
            <w:tcMar>
              <w:top w:w="0" w:type="dxa"/>
              <w:bottom w:w="0" w:type="dxa"/>
            </w:tcMar>
            <w:vAlign w:val="center"/>
          </w:tcPr>
          <w:p w14:paraId="233C9A24" w14:textId="77777777" w:rsidR="00D54EF4" w:rsidRDefault="00957D41">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66F21006" w14:textId="77777777" w:rsidR="00D54EF4" w:rsidRDefault="00957D41">
            <w:pPr>
              <w:keepNext/>
              <w:keepLines/>
              <w:spacing w:after="0" w:line="240" w:lineRule="auto"/>
            </w:pPr>
            <w:r>
              <w:rPr>
                <w:sz w:val="18"/>
              </w:rPr>
              <w:t>23</w:t>
            </w:r>
          </w:p>
        </w:tc>
        <w:tc>
          <w:tcPr>
            <w:tcW w:w="1860" w:type="dxa"/>
            <w:tcMar>
              <w:top w:w="0" w:type="dxa"/>
              <w:bottom w:w="0" w:type="dxa"/>
            </w:tcMar>
            <w:vAlign w:val="center"/>
          </w:tcPr>
          <w:p w14:paraId="6F5D91D0" w14:textId="77777777" w:rsidR="00D54EF4" w:rsidRDefault="00957D41">
            <w:pPr>
              <w:keepNext/>
              <w:keepLines/>
              <w:spacing w:after="0" w:line="240" w:lineRule="auto"/>
              <w:jc w:val="right"/>
            </w:pPr>
            <w:r>
              <w:rPr>
                <w:sz w:val="18"/>
              </w:rPr>
              <w:t>50.643,63</w:t>
            </w:r>
          </w:p>
        </w:tc>
        <w:tc>
          <w:tcPr>
            <w:tcW w:w="1860" w:type="dxa"/>
            <w:tcMar>
              <w:top w:w="0" w:type="dxa"/>
              <w:bottom w:w="0" w:type="dxa"/>
            </w:tcMar>
            <w:vAlign w:val="center"/>
          </w:tcPr>
          <w:p w14:paraId="73AFDE62" w14:textId="77777777" w:rsidR="00D54EF4" w:rsidRDefault="00957D41">
            <w:pPr>
              <w:keepNext/>
              <w:keepLines/>
              <w:spacing w:after="0" w:line="240" w:lineRule="auto"/>
              <w:jc w:val="right"/>
            </w:pPr>
            <w:r>
              <w:rPr>
                <w:sz w:val="18"/>
              </w:rPr>
              <w:t>53.563,09</w:t>
            </w:r>
          </w:p>
        </w:tc>
        <w:tc>
          <w:tcPr>
            <w:tcW w:w="700" w:type="dxa"/>
            <w:tcMar>
              <w:top w:w="0" w:type="dxa"/>
              <w:bottom w:w="0" w:type="dxa"/>
            </w:tcMar>
            <w:vAlign w:val="center"/>
          </w:tcPr>
          <w:p w14:paraId="3CF33F53" w14:textId="77777777" w:rsidR="00D54EF4" w:rsidRDefault="00957D41">
            <w:pPr>
              <w:keepNext/>
              <w:keepLines/>
              <w:spacing w:after="0" w:line="240" w:lineRule="auto"/>
              <w:jc w:val="right"/>
            </w:pPr>
            <w:r>
              <w:rPr>
                <w:sz w:val="18"/>
              </w:rPr>
              <w:t>105,8</w:t>
            </w:r>
          </w:p>
        </w:tc>
      </w:tr>
    </w:tbl>
    <w:p w14:paraId="276CCA4A" w14:textId="77777777" w:rsidR="00D54EF4" w:rsidRDefault="00D54EF4">
      <w:pPr>
        <w:spacing w:after="0"/>
      </w:pPr>
    </w:p>
    <w:p w14:paraId="139945B0" w14:textId="77777777" w:rsidR="00D54EF4" w:rsidRDefault="00957D41" w:rsidP="00957D41">
      <w:pPr>
        <w:jc w:val="both"/>
      </w:pPr>
      <w:r>
        <w:t>Iskazane obveze uključuju nedospjele obveze za zaposlene u iznosu od 38.449,73 eura (plaća i ostali rashodi za zaposlene za prosinac 2025. godine koja je isplaćena u siječnju 2026. godine) te obveze za materijalne rashode (režijski troškovi) u iznosu od 15.113,36 eura.</w:t>
      </w:r>
    </w:p>
    <w:p w14:paraId="7A132B61" w14:textId="77777777" w:rsidR="00D54EF4" w:rsidRDefault="00D54EF4"/>
    <w:p w14:paraId="4C741C27" w14:textId="77777777" w:rsidR="00D54EF4" w:rsidRDefault="00957D4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2E7C5671" w14:textId="77777777">
        <w:trPr>
          <w:cantSplit/>
        </w:trPr>
        <w:tc>
          <w:tcPr>
            <w:tcW w:w="700" w:type="dxa"/>
            <w:shd w:val="clear" w:color="auto" w:fill="E7F0F9"/>
            <w:tcMar>
              <w:top w:w="0" w:type="dxa"/>
              <w:bottom w:w="0" w:type="dxa"/>
            </w:tcMar>
            <w:vAlign w:val="center"/>
          </w:tcPr>
          <w:p w14:paraId="1D68DE02"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19C466"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05673"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121A3"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845C55"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D6F4DC" w14:textId="77777777" w:rsidR="00D54EF4" w:rsidRDefault="00957D41">
            <w:pPr>
              <w:keepNext/>
              <w:keepLines/>
              <w:spacing w:after="0" w:line="240" w:lineRule="auto"/>
              <w:jc w:val="center"/>
            </w:pPr>
            <w:r>
              <w:rPr>
                <w:b/>
                <w:sz w:val="18"/>
              </w:rPr>
              <w:t>Indeks (%)</w:t>
            </w:r>
          </w:p>
        </w:tc>
      </w:tr>
      <w:tr w:rsidR="00D54EF4" w14:paraId="7F4B7481" w14:textId="77777777">
        <w:trPr>
          <w:cantSplit/>
          <w:trHeight w:val="560"/>
        </w:trPr>
        <w:tc>
          <w:tcPr>
            <w:tcW w:w="700" w:type="dxa"/>
            <w:tcMar>
              <w:top w:w="0" w:type="dxa"/>
              <w:bottom w:w="0" w:type="dxa"/>
            </w:tcMar>
            <w:vAlign w:val="center"/>
          </w:tcPr>
          <w:p w14:paraId="730D0192" w14:textId="77777777" w:rsidR="00D54EF4" w:rsidRDefault="00957D41">
            <w:pPr>
              <w:keepNext/>
              <w:keepLines/>
              <w:spacing w:after="0" w:line="240" w:lineRule="auto"/>
            </w:pPr>
            <w:r>
              <w:rPr>
                <w:sz w:val="18"/>
              </w:rPr>
              <w:t>24</w:t>
            </w:r>
          </w:p>
        </w:tc>
        <w:tc>
          <w:tcPr>
            <w:tcW w:w="3180" w:type="dxa"/>
            <w:tcMar>
              <w:top w:w="0" w:type="dxa"/>
              <w:bottom w:w="0" w:type="dxa"/>
            </w:tcMar>
            <w:vAlign w:val="center"/>
          </w:tcPr>
          <w:p w14:paraId="55022AAF" w14:textId="77777777" w:rsidR="00D54EF4" w:rsidRDefault="00957D41">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4F2C6419" w14:textId="77777777" w:rsidR="00D54EF4" w:rsidRDefault="00957D41">
            <w:pPr>
              <w:keepNext/>
              <w:keepLines/>
              <w:spacing w:after="0" w:line="240" w:lineRule="auto"/>
            </w:pPr>
            <w:r>
              <w:rPr>
                <w:sz w:val="18"/>
              </w:rPr>
              <w:t>24</w:t>
            </w:r>
          </w:p>
        </w:tc>
        <w:tc>
          <w:tcPr>
            <w:tcW w:w="1860" w:type="dxa"/>
            <w:tcMar>
              <w:top w:w="0" w:type="dxa"/>
              <w:bottom w:w="0" w:type="dxa"/>
            </w:tcMar>
            <w:vAlign w:val="center"/>
          </w:tcPr>
          <w:p w14:paraId="7508FBD4"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74B1F1AB" w14:textId="77777777" w:rsidR="00D54EF4" w:rsidRDefault="00957D41">
            <w:pPr>
              <w:keepNext/>
              <w:keepLines/>
              <w:spacing w:after="0" w:line="240" w:lineRule="auto"/>
              <w:jc w:val="right"/>
            </w:pPr>
            <w:r>
              <w:rPr>
                <w:sz w:val="18"/>
              </w:rPr>
              <w:t>105.189,73</w:t>
            </w:r>
          </w:p>
        </w:tc>
        <w:tc>
          <w:tcPr>
            <w:tcW w:w="700" w:type="dxa"/>
            <w:tcMar>
              <w:top w:w="0" w:type="dxa"/>
              <w:bottom w:w="0" w:type="dxa"/>
            </w:tcMar>
            <w:vAlign w:val="center"/>
          </w:tcPr>
          <w:p w14:paraId="69911E7C" w14:textId="77777777" w:rsidR="00D54EF4" w:rsidRDefault="00957D41">
            <w:pPr>
              <w:keepNext/>
              <w:keepLines/>
              <w:spacing w:after="0" w:line="240" w:lineRule="auto"/>
              <w:jc w:val="right"/>
            </w:pPr>
            <w:r>
              <w:rPr>
                <w:sz w:val="18"/>
              </w:rPr>
              <w:t>-</w:t>
            </w:r>
          </w:p>
        </w:tc>
      </w:tr>
    </w:tbl>
    <w:p w14:paraId="0CC16391" w14:textId="77777777" w:rsidR="00D54EF4" w:rsidRDefault="00D54EF4">
      <w:pPr>
        <w:spacing w:after="0"/>
      </w:pPr>
    </w:p>
    <w:p w14:paraId="721557F6" w14:textId="77777777" w:rsidR="00D54EF4" w:rsidRDefault="00957D41" w:rsidP="00957D41">
      <w:pPr>
        <w:jc w:val="both"/>
      </w:pPr>
      <w:r>
        <w:t>Iskazane obveze uključuju nedospjele obveze za nabavu proizvedene nefinancijske imovine u iznosu od 105.189,73 eura, a odnosi se na trošak situacije za izgradnju nove upravne zgrade te trošak nabave zaštitne plutajuće brane u sklopu programa prekogranične suradnje u kojem je Lučka uprava Vukovar projektni partner. </w:t>
      </w:r>
    </w:p>
    <w:p w14:paraId="37DC719A" w14:textId="77777777" w:rsidR="00D54EF4" w:rsidRDefault="00D54EF4"/>
    <w:p w14:paraId="1EFEF6E4" w14:textId="77777777" w:rsidR="00D54EF4" w:rsidRDefault="00957D4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6A8FA6E4" w14:textId="77777777">
        <w:trPr>
          <w:cantSplit/>
        </w:trPr>
        <w:tc>
          <w:tcPr>
            <w:tcW w:w="700" w:type="dxa"/>
            <w:shd w:val="clear" w:color="auto" w:fill="E7F0F9"/>
            <w:tcMar>
              <w:top w:w="0" w:type="dxa"/>
              <w:bottom w:w="0" w:type="dxa"/>
            </w:tcMar>
            <w:vAlign w:val="center"/>
          </w:tcPr>
          <w:p w14:paraId="3652496B"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D75761"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3FDEFC"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A2C9C"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6E25F4"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B2CDD7" w14:textId="77777777" w:rsidR="00D54EF4" w:rsidRDefault="00957D41">
            <w:pPr>
              <w:keepNext/>
              <w:keepLines/>
              <w:spacing w:after="0" w:line="240" w:lineRule="auto"/>
              <w:jc w:val="center"/>
            </w:pPr>
            <w:r>
              <w:rPr>
                <w:b/>
                <w:sz w:val="18"/>
              </w:rPr>
              <w:t>Indeks (%)</w:t>
            </w:r>
          </w:p>
        </w:tc>
      </w:tr>
      <w:tr w:rsidR="00D54EF4" w14:paraId="7C6E3592" w14:textId="77777777">
        <w:trPr>
          <w:cantSplit/>
          <w:trHeight w:val="560"/>
        </w:trPr>
        <w:tc>
          <w:tcPr>
            <w:tcW w:w="700" w:type="dxa"/>
            <w:tcMar>
              <w:top w:w="0" w:type="dxa"/>
              <w:bottom w:w="0" w:type="dxa"/>
            </w:tcMar>
            <w:vAlign w:val="center"/>
          </w:tcPr>
          <w:p w14:paraId="24026759" w14:textId="77777777" w:rsidR="00D54EF4" w:rsidRDefault="00957D41">
            <w:pPr>
              <w:keepNext/>
              <w:keepLines/>
              <w:spacing w:after="0" w:line="240" w:lineRule="auto"/>
            </w:pPr>
            <w:r>
              <w:rPr>
                <w:sz w:val="18"/>
              </w:rPr>
              <w:t>27</w:t>
            </w:r>
          </w:p>
        </w:tc>
        <w:tc>
          <w:tcPr>
            <w:tcW w:w="3180" w:type="dxa"/>
            <w:tcMar>
              <w:top w:w="0" w:type="dxa"/>
              <w:bottom w:w="0" w:type="dxa"/>
            </w:tcMar>
            <w:vAlign w:val="center"/>
          </w:tcPr>
          <w:p w14:paraId="0B43981A" w14:textId="77777777" w:rsidR="00D54EF4" w:rsidRDefault="00957D41">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3B2EDDF6" w14:textId="77777777" w:rsidR="00D54EF4" w:rsidRDefault="00957D41">
            <w:pPr>
              <w:keepNext/>
              <w:keepLines/>
              <w:spacing w:after="0" w:line="240" w:lineRule="auto"/>
            </w:pPr>
            <w:r>
              <w:rPr>
                <w:sz w:val="18"/>
              </w:rPr>
              <w:t>27</w:t>
            </w:r>
          </w:p>
        </w:tc>
        <w:tc>
          <w:tcPr>
            <w:tcW w:w="1860" w:type="dxa"/>
            <w:tcMar>
              <w:top w:w="0" w:type="dxa"/>
              <w:bottom w:w="0" w:type="dxa"/>
            </w:tcMar>
            <w:vAlign w:val="center"/>
          </w:tcPr>
          <w:p w14:paraId="1005E8E8" w14:textId="77777777" w:rsidR="00D54EF4" w:rsidRDefault="00957D41">
            <w:pPr>
              <w:keepNext/>
              <w:keepLines/>
              <w:spacing w:after="0" w:line="240" w:lineRule="auto"/>
              <w:jc w:val="right"/>
            </w:pPr>
            <w:r>
              <w:rPr>
                <w:sz w:val="18"/>
              </w:rPr>
              <w:t>0,00</w:t>
            </w:r>
          </w:p>
        </w:tc>
        <w:tc>
          <w:tcPr>
            <w:tcW w:w="1860" w:type="dxa"/>
            <w:tcMar>
              <w:top w:w="0" w:type="dxa"/>
              <w:bottom w:w="0" w:type="dxa"/>
            </w:tcMar>
            <w:vAlign w:val="center"/>
          </w:tcPr>
          <w:p w14:paraId="4DC4CB25" w14:textId="77777777" w:rsidR="00D54EF4" w:rsidRDefault="00957D41">
            <w:pPr>
              <w:keepNext/>
              <w:keepLines/>
              <w:spacing w:after="0" w:line="240" w:lineRule="auto"/>
              <w:jc w:val="right"/>
            </w:pPr>
            <w:r>
              <w:rPr>
                <w:sz w:val="18"/>
              </w:rPr>
              <w:t>28.958,80</w:t>
            </w:r>
          </w:p>
        </w:tc>
        <w:tc>
          <w:tcPr>
            <w:tcW w:w="700" w:type="dxa"/>
            <w:tcMar>
              <w:top w:w="0" w:type="dxa"/>
              <w:bottom w:w="0" w:type="dxa"/>
            </w:tcMar>
            <w:vAlign w:val="center"/>
          </w:tcPr>
          <w:p w14:paraId="11B2337E" w14:textId="77777777" w:rsidR="00D54EF4" w:rsidRDefault="00957D41">
            <w:pPr>
              <w:keepNext/>
              <w:keepLines/>
              <w:spacing w:after="0" w:line="240" w:lineRule="auto"/>
              <w:jc w:val="right"/>
            </w:pPr>
            <w:r>
              <w:rPr>
                <w:sz w:val="18"/>
              </w:rPr>
              <w:t>-</w:t>
            </w:r>
          </w:p>
        </w:tc>
      </w:tr>
    </w:tbl>
    <w:p w14:paraId="2B0A2936" w14:textId="77777777" w:rsidR="00D54EF4" w:rsidRDefault="00D54EF4">
      <w:pPr>
        <w:spacing w:after="0"/>
      </w:pPr>
    </w:p>
    <w:p w14:paraId="6DE7AD62" w14:textId="0F39B1DF" w:rsidR="00D54EF4" w:rsidRDefault="00957D41" w:rsidP="00957D41">
      <w:pPr>
        <w:jc w:val="both"/>
      </w:pPr>
      <w:r>
        <w:t>Navedene obveze sastoje se od obveza za predujmove u iznosu od 12.424,25 eura za unaprijed plaćene naknade za pravo građenja i služnosti na lučkom području od strane HEP Operatora distribucijskog sustava, obveza za jamčevne pologe u iznosu od 16.433,42 eura uplaćene za postojeće ugovore za zakupe prostora i provedene postupke javne nabave te obveza proračunskih korisnika za povrat u proračun - bolovanje HZZO u iznosu od 101,13 eura. </w:t>
      </w:r>
    </w:p>
    <w:p w14:paraId="6C61E232" w14:textId="77777777" w:rsidR="00957D41" w:rsidRDefault="00957D41" w:rsidP="00957D41">
      <w:pPr>
        <w:jc w:val="both"/>
      </w:pPr>
    </w:p>
    <w:p w14:paraId="32B801C7" w14:textId="77777777" w:rsidR="00A97D7C" w:rsidRDefault="00A97D7C" w:rsidP="00957D41">
      <w:pPr>
        <w:jc w:val="both"/>
      </w:pPr>
    </w:p>
    <w:p w14:paraId="6BF379AA" w14:textId="77777777" w:rsidR="00D54EF4" w:rsidRDefault="00957D41">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42721A5C" w14:textId="77777777">
        <w:trPr>
          <w:cantSplit/>
        </w:trPr>
        <w:tc>
          <w:tcPr>
            <w:tcW w:w="700" w:type="dxa"/>
            <w:shd w:val="clear" w:color="auto" w:fill="E7F0F9"/>
            <w:tcMar>
              <w:top w:w="0" w:type="dxa"/>
              <w:bottom w:w="0" w:type="dxa"/>
            </w:tcMar>
            <w:vAlign w:val="center"/>
          </w:tcPr>
          <w:p w14:paraId="768F72B4"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305EA5"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BD880"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D8A61"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D28A06"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05D966" w14:textId="77777777" w:rsidR="00D54EF4" w:rsidRDefault="00957D41">
            <w:pPr>
              <w:keepNext/>
              <w:keepLines/>
              <w:spacing w:after="0" w:line="240" w:lineRule="auto"/>
              <w:jc w:val="center"/>
            </w:pPr>
            <w:r>
              <w:rPr>
                <w:b/>
                <w:sz w:val="18"/>
              </w:rPr>
              <w:t>Indeks (%)</w:t>
            </w:r>
          </w:p>
        </w:tc>
      </w:tr>
      <w:tr w:rsidR="00D54EF4" w14:paraId="7388A6F8" w14:textId="77777777">
        <w:trPr>
          <w:cantSplit/>
          <w:trHeight w:val="560"/>
        </w:trPr>
        <w:tc>
          <w:tcPr>
            <w:tcW w:w="700" w:type="dxa"/>
            <w:tcMar>
              <w:top w:w="0" w:type="dxa"/>
              <w:bottom w:w="0" w:type="dxa"/>
            </w:tcMar>
            <w:vAlign w:val="center"/>
          </w:tcPr>
          <w:p w14:paraId="2E6A2273" w14:textId="77777777" w:rsidR="00D54EF4" w:rsidRDefault="00957D41">
            <w:pPr>
              <w:keepNext/>
              <w:keepLines/>
              <w:spacing w:after="0" w:line="240" w:lineRule="auto"/>
            </w:pPr>
            <w:r>
              <w:rPr>
                <w:sz w:val="18"/>
              </w:rPr>
              <w:t>922</w:t>
            </w:r>
          </w:p>
        </w:tc>
        <w:tc>
          <w:tcPr>
            <w:tcW w:w="3180" w:type="dxa"/>
            <w:tcMar>
              <w:top w:w="0" w:type="dxa"/>
              <w:bottom w:w="0" w:type="dxa"/>
            </w:tcMar>
            <w:vAlign w:val="center"/>
          </w:tcPr>
          <w:p w14:paraId="38B86640" w14:textId="77777777" w:rsidR="00D54EF4" w:rsidRDefault="00957D41">
            <w:pPr>
              <w:keepNext/>
              <w:keepLines/>
              <w:spacing w:after="0" w:line="240" w:lineRule="auto"/>
            </w:pPr>
            <w:r>
              <w:rPr>
                <w:sz w:val="18"/>
              </w:rPr>
              <w:t>Rezultat - višak/manjak (šifre 9221-9222)</w:t>
            </w:r>
          </w:p>
        </w:tc>
        <w:tc>
          <w:tcPr>
            <w:tcW w:w="700" w:type="dxa"/>
            <w:tcMar>
              <w:top w:w="0" w:type="dxa"/>
              <w:bottom w:w="0" w:type="dxa"/>
            </w:tcMar>
            <w:vAlign w:val="center"/>
          </w:tcPr>
          <w:p w14:paraId="1537823D" w14:textId="77777777" w:rsidR="00D54EF4" w:rsidRDefault="00957D41">
            <w:pPr>
              <w:keepNext/>
              <w:keepLines/>
              <w:spacing w:after="0" w:line="240" w:lineRule="auto"/>
            </w:pPr>
            <w:r>
              <w:rPr>
                <w:sz w:val="18"/>
              </w:rPr>
              <w:t>922</w:t>
            </w:r>
          </w:p>
        </w:tc>
        <w:tc>
          <w:tcPr>
            <w:tcW w:w="1860" w:type="dxa"/>
            <w:tcMar>
              <w:top w:w="0" w:type="dxa"/>
              <w:bottom w:w="0" w:type="dxa"/>
            </w:tcMar>
            <w:vAlign w:val="center"/>
          </w:tcPr>
          <w:p w14:paraId="0D8C2199" w14:textId="77777777" w:rsidR="00D54EF4" w:rsidRDefault="00957D41">
            <w:pPr>
              <w:keepNext/>
              <w:keepLines/>
              <w:spacing w:after="0" w:line="240" w:lineRule="auto"/>
              <w:jc w:val="right"/>
            </w:pPr>
            <w:r>
              <w:rPr>
                <w:sz w:val="18"/>
              </w:rPr>
              <w:t>670.795,47</w:t>
            </w:r>
          </w:p>
        </w:tc>
        <w:tc>
          <w:tcPr>
            <w:tcW w:w="1860" w:type="dxa"/>
            <w:tcMar>
              <w:top w:w="0" w:type="dxa"/>
              <w:bottom w:w="0" w:type="dxa"/>
            </w:tcMar>
            <w:vAlign w:val="center"/>
          </w:tcPr>
          <w:p w14:paraId="53F1B057" w14:textId="77777777" w:rsidR="00D54EF4" w:rsidRDefault="00957D41">
            <w:pPr>
              <w:keepNext/>
              <w:keepLines/>
              <w:spacing w:after="0" w:line="240" w:lineRule="auto"/>
              <w:jc w:val="right"/>
            </w:pPr>
            <w:r>
              <w:rPr>
                <w:sz w:val="18"/>
              </w:rPr>
              <w:t>522.871,53</w:t>
            </w:r>
          </w:p>
        </w:tc>
        <w:tc>
          <w:tcPr>
            <w:tcW w:w="700" w:type="dxa"/>
            <w:tcMar>
              <w:top w:w="0" w:type="dxa"/>
              <w:bottom w:w="0" w:type="dxa"/>
            </w:tcMar>
            <w:vAlign w:val="center"/>
          </w:tcPr>
          <w:p w14:paraId="7A06D790" w14:textId="77777777" w:rsidR="00D54EF4" w:rsidRDefault="00957D41">
            <w:pPr>
              <w:keepNext/>
              <w:keepLines/>
              <w:spacing w:after="0" w:line="240" w:lineRule="auto"/>
              <w:jc w:val="right"/>
            </w:pPr>
            <w:r>
              <w:rPr>
                <w:sz w:val="18"/>
              </w:rPr>
              <w:t>77,9</w:t>
            </w:r>
          </w:p>
        </w:tc>
      </w:tr>
    </w:tbl>
    <w:p w14:paraId="5C7A7B71" w14:textId="77777777" w:rsidR="00D54EF4" w:rsidRDefault="00D54EF4">
      <w:pPr>
        <w:spacing w:after="0"/>
      </w:pPr>
    </w:p>
    <w:p w14:paraId="61DE87EC" w14:textId="77777777" w:rsidR="00D54EF4" w:rsidRDefault="00957D41" w:rsidP="00957D41">
      <w:pPr>
        <w:jc w:val="both"/>
      </w:pPr>
      <w:r>
        <w:t>U 2025. godini Upravno vijeće Lučke uprave Vukovar donijelo je Odluku o preraspodjeli i promjeni rezultata poslovanja. Odlukom je izvršena preraspodjela odnosno nastali manjak od nefinancijske imovine iz 2024. godine je zatvoren viškom prihoda poslovanja te je izvršen ispravak početnog stanja obveza za 0,1 euro, stoga konačni preneseni višak prihoda i primitaka iznosi 670.795,46 eura. </w:t>
      </w:r>
    </w:p>
    <w:p w14:paraId="31115BD3" w14:textId="77777777" w:rsidR="00D54EF4" w:rsidRDefault="00957D41" w:rsidP="00957D41">
      <w:pPr>
        <w:jc w:val="both"/>
      </w:pPr>
      <w:r>
        <w:t>Lučka uprava Vukovar je u razdoblju od 1.1.2025. do 31.12.2025. ostvarila ukupne prihode i primitke u iznosu od 6.071.074,64 eura te ukupne rashode i izdatke poslovanja u iznosu od 6.218.998,57 eura, što rezultira manjkom prihoda u iznosu od 147.923,93 eura. Uz preneseni višak prihoda i primitaka, ukupni rezultat poslovanja odnosno višak prihoda i primitaka raspoloživ za sljedeće razdoblje iznosi 522.871,53 eura.  </w:t>
      </w:r>
    </w:p>
    <w:p w14:paraId="01FC877F" w14:textId="77777777" w:rsidR="00D54EF4" w:rsidRDefault="00957D41" w:rsidP="00957D41">
      <w:pPr>
        <w:jc w:val="both"/>
      </w:pPr>
      <w:r>
        <w:t>Obveznom korekcijom rezultata za nabavljenu nefinancijsku imovinu od prihoda iz proračuna za financiranje rashoda za nabavu nefinancijske imovine evidentiran je manjak prihoda od nefinancijske imovine u iznosu od 114.660,24 eura.  </w:t>
      </w:r>
    </w:p>
    <w:p w14:paraId="4FE6BE72" w14:textId="77777777" w:rsidR="00D54EF4" w:rsidRDefault="00D54EF4"/>
    <w:p w14:paraId="6224F4CE" w14:textId="77777777" w:rsidR="00D54EF4" w:rsidRDefault="00957D4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54EF4" w14:paraId="2FABBC9E" w14:textId="77777777">
        <w:trPr>
          <w:cantSplit/>
        </w:trPr>
        <w:tc>
          <w:tcPr>
            <w:tcW w:w="700" w:type="dxa"/>
            <w:shd w:val="clear" w:color="auto" w:fill="E7F0F9"/>
            <w:tcMar>
              <w:top w:w="0" w:type="dxa"/>
              <w:bottom w:w="0" w:type="dxa"/>
            </w:tcMar>
            <w:vAlign w:val="center"/>
          </w:tcPr>
          <w:p w14:paraId="3ED06811"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3516DC"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AE915"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8CD1CD" w14:textId="77777777" w:rsidR="00D54EF4" w:rsidRDefault="00957D4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597306" w14:textId="77777777" w:rsidR="00D54EF4" w:rsidRDefault="00957D4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9E86F1" w14:textId="77777777" w:rsidR="00D54EF4" w:rsidRDefault="00957D41">
            <w:pPr>
              <w:keepNext/>
              <w:keepLines/>
              <w:spacing w:after="0" w:line="240" w:lineRule="auto"/>
              <w:jc w:val="center"/>
            </w:pPr>
            <w:r>
              <w:rPr>
                <w:b/>
                <w:sz w:val="18"/>
              </w:rPr>
              <w:t>Indeks (%)</w:t>
            </w:r>
          </w:p>
        </w:tc>
      </w:tr>
      <w:tr w:rsidR="00D54EF4" w14:paraId="511EC0ED" w14:textId="77777777">
        <w:trPr>
          <w:cantSplit/>
          <w:trHeight w:val="560"/>
        </w:trPr>
        <w:tc>
          <w:tcPr>
            <w:tcW w:w="700" w:type="dxa"/>
            <w:tcMar>
              <w:top w:w="0" w:type="dxa"/>
              <w:bottom w:w="0" w:type="dxa"/>
            </w:tcMar>
            <w:vAlign w:val="center"/>
          </w:tcPr>
          <w:p w14:paraId="6A6FD6FB" w14:textId="77777777" w:rsidR="00D54EF4" w:rsidRDefault="00957D41">
            <w:pPr>
              <w:keepNext/>
              <w:keepLines/>
              <w:spacing w:after="0" w:line="240" w:lineRule="auto"/>
            </w:pPr>
            <w:r>
              <w:rPr>
                <w:sz w:val="18"/>
              </w:rPr>
              <w:t>96</w:t>
            </w:r>
          </w:p>
        </w:tc>
        <w:tc>
          <w:tcPr>
            <w:tcW w:w="3180" w:type="dxa"/>
            <w:tcMar>
              <w:top w:w="0" w:type="dxa"/>
              <w:bottom w:w="0" w:type="dxa"/>
            </w:tcMar>
            <w:vAlign w:val="center"/>
          </w:tcPr>
          <w:p w14:paraId="5F97565D" w14:textId="77777777" w:rsidR="00D54EF4" w:rsidRDefault="00957D41">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4BD91F4D" w14:textId="77777777" w:rsidR="00D54EF4" w:rsidRDefault="00957D41">
            <w:pPr>
              <w:keepNext/>
              <w:keepLines/>
              <w:spacing w:after="0" w:line="240" w:lineRule="auto"/>
            </w:pPr>
            <w:r>
              <w:rPr>
                <w:sz w:val="18"/>
              </w:rPr>
              <w:t>96</w:t>
            </w:r>
          </w:p>
        </w:tc>
        <w:tc>
          <w:tcPr>
            <w:tcW w:w="1860" w:type="dxa"/>
            <w:tcMar>
              <w:top w:w="0" w:type="dxa"/>
              <w:bottom w:w="0" w:type="dxa"/>
            </w:tcMar>
            <w:vAlign w:val="center"/>
          </w:tcPr>
          <w:p w14:paraId="6392ADEE" w14:textId="77777777" w:rsidR="00D54EF4" w:rsidRDefault="00957D41">
            <w:pPr>
              <w:keepNext/>
              <w:keepLines/>
              <w:spacing w:after="0" w:line="240" w:lineRule="auto"/>
              <w:jc w:val="right"/>
            </w:pPr>
            <w:r>
              <w:rPr>
                <w:sz w:val="18"/>
              </w:rPr>
              <w:t>427.335,30</w:t>
            </w:r>
          </w:p>
        </w:tc>
        <w:tc>
          <w:tcPr>
            <w:tcW w:w="1860" w:type="dxa"/>
            <w:tcMar>
              <w:top w:w="0" w:type="dxa"/>
              <w:bottom w:w="0" w:type="dxa"/>
            </w:tcMar>
            <w:vAlign w:val="center"/>
          </w:tcPr>
          <w:p w14:paraId="0D275EF4" w14:textId="77777777" w:rsidR="00D54EF4" w:rsidRDefault="00957D41">
            <w:pPr>
              <w:keepNext/>
              <w:keepLines/>
              <w:spacing w:after="0" w:line="240" w:lineRule="auto"/>
              <w:jc w:val="right"/>
            </w:pPr>
            <w:r>
              <w:rPr>
                <w:sz w:val="18"/>
              </w:rPr>
              <w:t>558.810,30</w:t>
            </w:r>
          </w:p>
        </w:tc>
        <w:tc>
          <w:tcPr>
            <w:tcW w:w="700" w:type="dxa"/>
            <w:tcMar>
              <w:top w:w="0" w:type="dxa"/>
              <w:bottom w:w="0" w:type="dxa"/>
            </w:tcMar>
            <w:vAlign w:val="center"/>
          </w:tcPr>
          <w:p w14:paraId="3A7261CD" w14:textId="77777777" w:rsidR="00D54EF4" w:rsidRDefault="00957D41">
            <w:pPr>
              <w:keepNext/>
              <w:keepLines/>
              <w:spacing w:after="0" w:line="240" w:lineRule="auto"/>
              <w:jc w:val="right"/>
            </w:pPr>
            <w:r>
              <w:rPr>
                <w:sz w:val="18"/>
              </w:rPr>
              <w:t>130,8</w:t>
            </w:r>
          </w:p>
        </w:tc>
      </w:tr>
    </w:tbl>
    <w:p w14:paraId="23DC1A91" w14:textId="77777777" w:rsidR="00D54EF4" w:rsidRDefault="00D54EF4">
      <w:pPr>
        <w:spacing w:after="0"/>
      </w:pPr>
    </w:p>
    <w:p w14:paraId="4DF3F7AE" w14:textId="77777777" w:rsidR="00D54EF4" w:rsidRDefault="00957D41" w:rsidP="00957D41">
      <w:pPr>
        <w:jc w:val="both"/>
      </w:pPr>
      <w:r>
        <w:t>Obračunati prihodi poslovanja sukladni su potraživanjima za prihode poslovanja. </w:t>
      </w:r>
    </w:p>
    <w:p w14:paraId="2371A13C" w14:textId="77777777" w:rsidR="00D54EF4" w:rsidRDefault="00D54EF4"/>
    <w:p w14:paraId="59433829" w14:textId="77777777" w:rsidR="00D54EF4" w:rsidRDefault="00957D41">
      <w:pPr>
        <w:keepNext/>
        <w:spacing w:line="240" w:lineRule="auto"/>
        <w:jc w:val="center"/>
      </w:pPr>
      <w:r>
        <w:rPr>
          <w:b/>
          <w:sz w:val="28"/>
        </w:rPr>
        <w:t>Izvještaj o obvezama</w:t>
      </w:r>
    </w:p>
    <w:p w14:paraId="02CE7409" w14:textId="77777777" w:rsidR="00D54EF4" w:rsidRDefault="00957D4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54EF4" w14:paraId="6956CB1E" w14:textId="77777777">
        <w:trPr>
          <w:cantSplit/>
        </w:trPr>
        <w:tc>
          <w:tcPr>
            <w:tcW w:w="700" w:type="dxa"/>
            <w:shd w:val="clear" w:color="auto" w:fill="E7F0F9"/>
            <w:tcMar>
              <w:top w:w="0" w:type="dxa"/>
              <w:bottom w:w="0" w:type="dxa"/>
            </w:tcMar>
            <w:vAlign w:val="center"/>
          </w:tcPr>
          <w:p w14:paraId="45462967"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AF2DBC"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A638E"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A2BC1" w14:textId="77777777" w:rsidR="00D54EF4" w:rsidRDefault="00957D4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7D7DFC" w14:textId="77777777" w:rsidR="00D54EF4" w:rsidRDefault="00957D41">
            <w:pPr>
              <w:keepNext/>
              <w:keepLines/>
              <w:spacing w:after="0" w:line="240" w:lineRule="auto"/>
              <w:jc w:val="center"/>
            </w:pPr>
            <w:r>
              <w:rPr>
                <w:b/>
                <w:sz w:val="18"/>
              </w:rPr>
              <w:t>Indeks (%)</w:t>
            </w:r>
          </w:p>
        </w:tc>
      </w:tr>
      <w:tr w:rsidR="00D54EF4" w14:paraId="08F51533" w14:textId="77777777">
        <w:trPr>
          <w:cantSplit/>
          <w:trHeight w:val="560"/>
        </w:trPr>
        <w:tc>
          <w:tcPr>
            <w:tcW w:w="700" w:type="dxa"/>
            <w:tcMar>
              <w:top w:w="0" w:type="dxa"/>
              <w:bottom w:w="0" w:type="dxa"/>
            </w:tcMar>
            <w:vAlign w:val="center"/>
          </w:tcPr>
          <w:p w14:paraId="41BB1BEF" w14:textId="77777777" w:rsidR="00D54EF4" w:rsidRDefault="00D54EF4">
            <w:pPr>
              <w:keepNext/>
              <w:keepLines/>
              <w:spacing w:after="0" w:line="240" w:lineRule="auto"/>
            </w:pPr>
          </w:p>
        </w:tc>
        <w:tc>
          <w:tcPr>
            <w:tcW w:w="3180" w:type="dxa"/>
            <w:tcMar>
              <w:top w:w="0" w:type="dxa"/>
              <w:bottom w:w="0" w:type="dxa"/>
            </w:tcMar>
            <w:vAlign w:val="center"/>
          </w:tcPr>
          <w:p w14:paraId="422B838E" w14:textId="77777777" w:rsidR="00D54EF4" w:rsidRDefault="00957D4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A62AF5C" w14:textId="77777777" w:rsidR="00D54EF4" w:rsidRDefault="00957D41">
            <w:pPr>
              <w:keepNext/>
              <w:keepLines/>
              <w:spacing w:after="0" w:line="240" w:lineRule="auto"/>
            </w:pPr>
            <w:r>
              <w:rPr>
                <w:sz w:val="18"/>
              </w:rPr>
              <w:t>V007</w:t>
            </w:r>
          </w:p>
        </w:tc>
        <w:tc>
          <w:tcPr>
            <w:tcW w:w="1860" w:type="dxa"/>
            <w:tcMar>
              <w:top w:w="0" w:type="dxa"/>
              <w:bottom w:w="0" w:type="dxa"/>
            </w:tcMar>
            <w:vAlign w:val="center"/>
          </w:tcPr>
          <w:p w14:paraId="56EE2EEB" w14:textId="77777777" w:rsidR="00D54EF4" w:rsidRDefault="00957D41">
            <w:pPr>
              <w:keepNext/>
              <w:keepLines/>
              <w:spacing w:after="0" w:line="240" w:lineRule="auto"/>
              <w:jc w:val="right"/>
            </w:pPr>
            <w:r>
              <w:rPr>
                <w:sz w:val="18"/>
              </w:rPr>
              <w:t>0,00</w:t>
            </w:r>
          </w:p>
        </w:tc>
        <w:tc>
          <w:tcPr>
            <w:tcW w:w="700" w:type="dxa"/>
            <w:tcMar>
              <w:top w:w="0" w:type="dxa"/>
              <w:bottom w:w="0" w:type="dxa"/>
            </w:tcMar>
            <w:vAlign w:val="center"/>
          </w:tcPr>
          <w:p w14:paraId="0A8AC6B0" w14:textId="77777777" w:rsidR="00D54EF4" w:rsidRDefault="00957D41">
            <w:pPr>
              <w:keepNext/>
              <w:keepLines/>
              <w:spacing w:after="0" w:line="240" w:lineRule="auto"/>
              <w:jc w:val="right"/>
            </w:pPr>
            <w:r>
              <w:rPr>
                <w:sz w:val="18"/>
              </w:rPr>
              <w:t>-</w:t>
            </w:r>
          </w:p>
        </w:tc>
      </w:tr>
    </w:tbl>
    <w:p w14:paraId="3D3AEF0A" w14:textId="77777777" w:rsidR="00D54EF4" w:rsidRDefault="00D54EF4">
      <w:pPr>
        <w:spacing w:after="0"/>
      </w:pPr>
    </w:p>
    <w:p w14:paraId="18F11E3D" w14:textId="77777777" w:rsidR="00D54EF4" w:rsidRDefault="00957D41">
      <w:r>
        <w:t>Lučka uprava Vukovar u izvještajnom razdoblju nema dospjelih dugovanja. </w:t>
      </w:r>
    </w:p>
    <w:p w14:paraId="7521C833" w14:textId="77777777" w:rsidR="00D54EF4" w:rsidRDefault="00957D41">
      <w:r>
        <w:t> </w:t>
      </w:r>
    </w:p>
    <w:p w14:paraId="2C0A35A7" w14:textId="77777777" w:rsidR="00D54EF4" w:rsidRDefault="00D54EF4"/>
    <w:p w14:paraId="1EB91B84" w14:textId="77777777" w:rsidR="00D54EF4" w:rsidRDefault="00957D41">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54EF4" w14:paraId="212EE196" w14:textId="77777777">
        <w:trPr>
          <w:cantSplit/>
        </w:trPr>
        <w:tc>
          <w:tcPr>
            <w:tcW w:w="700" w:type="dxa"/>
            <w:shd w:val="clear" w:color="auto" w:fill="E7F0F9"/>
            <w:tcMar>
              <w:top w:w="0" w:type="dxa"/>
              <w:bottom w:w="0" w:type="dxa"/>
            </w:tcMar>
            <w:vAlign w:val="center"/>
          </w:tcPr>
          <w:p w14:paraId="3E61543F" w14:textId="77777777" w:rsidR="00D54EF4" w:rsidRDefault="00957D4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E9BEB1" w14:textId="77777777" w:rsidR="00D54EF4" w:rsidRDefault="00957D4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562EB" w14:textId="77777777" w:rsidR="00D54EF4" w:rsidRDefault="00957D4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0AA50" w14:textId="77777777" w:rsidR="00D54EF4" w:rsidRDefault="00957D4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C289D7" w14:textId="77777777" w:rsidR="00D54EF4" w:rsidRDefault="00957D41">
            <w:pPr>
              <w:keepNext/>
              <w:keepLines/>
              <w:spacing w:after="0" w:line="240" w:lineRule="auto"/>
              <w:jc w:val="center"/>
            </w:pPr>
            <w:r>
              <w:rPr>
                <w:b/>
                <w:sz w:val="18"/>
              </w:rPr>
              <w:t>Indeks (%)</w:t>
            </w:r>
          </w:p>
        </w:tc>
      </w:tr>
      <w:tr w:rsidR="00D54EF4" w14:paraId="09AD7EB9" w14:textId="77777777">
        <w:trPr>
          <w:cantSplit/>
          <w:trHeight w:val="560"/>
        </w:trPr>
        <w:tc>
          <w:tcPr>
            <w:tcW w:w="700" w:type="dxa"/>
            <w:tcMar>
              <w:top w:w="0" w:type="dxa"/>
              <w:bottom w:w="0" w:type="dxa"/>
            </w:tcMar>
            <w:vAlign w:val="center"/>
          </w:tcPr>
          <w:p w14:paraId="1E91014D" w14:textId="77777777" w:rsidR="00D54EF4" w:rsidRDefault="00D54EF4">
            <w:pPr>
              <w:keepNext/>
              <w:keepLines/>
              <w:spacing w:after="0" w:line="240" w:lineRule="auto"/>
            </w:pPr>
          </w:p>
        </w:tc>
        <w:tc>
          <w:tcPr>
            <w:tcW w:w="3180" w:type="dxa"/>
            <w:tcMar>
              <w:top w:w="0" w:type="dxa"/>
              <w:bottom w:w="0" w:type="dxa"/>
            </w:tcMar>
            <w:vAlign w:val="center"/>
          </w:tcPr>
          <w:p w14:paraId="3BEB973A" w14:textId="77777777" w:rsidR="00D54EF4" w:rsidRDefault="00957D41">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8156502" w14:textId="77777777" w:rsidR="00D54EF4" w:rsidRDefault="00957D41">
            <w:pPr>
              <w:keepNext/>
              <w:keepLines/>
              <w:spacing w:after="0" w:line="240" w:lineRule="auto"/>
            </w:pPr>
            <w:r>
              <w:rPr>
                <w:sz w:val="18"/>
              </w:rPr>
              <w:t>V009</w:t>
            </w:r>
          </w:p>
        </w:tc>
        <w:tc>
          <w:tcPr>
            <w:tcW w:w="1860" w:type="dxa"/>
            <w:tcMar>
              <w:top w:w="0" w:type="dxa"/>
              <w:bottom w:w="0" w:type="dxa"/>
            </w:tcMar>
            <w:vAlign w:val="center"/>
          </w:tcPr>
          <w:p w14:paraId="47D0EEDE" w14:textId="77777777" w:rsidR="00D54EF4" w:rsidRDefault="00957D41">
            <w:pPr>
              <w:keepNext/>
              <w:keepLines/>
              <w:spacing w:after="0" w:line="240" w:lineRule="auto"/>
              <w:jc w:val="right"/>
            </w:pPr>
            <w:r>
              <w:rPr>
                <w:sz w:val="18"/>
              </w:rPr>
              <w:t>187.711,62</w:t>
            </w:r>
          </w:p>
        </w:tc>
        <w:tc>
          <w:tcPr>
            <w:tcW w:w="700" w:type="dxa"/>
            <w:tcMar>
              <w:top w:w="0" w:type="dxa"/>
              <w:bottom w:w="0" w:type="dxa"/>
            </w:tcMar>
            <w:vAlign w:val="center"/>
          </w:tcPr>
          <w:p w14:paraId="35689F21" w14:textId="77777777" w:rsidR="00D54EF4" w:rsidRDefault="00957D41">
            <w:pPr>
              <w:keepNext/>
              <w:keepLines/>
              <w:spacing w:after="0" w:line="240" w:lineRule="auto"/>
              <w:jc w:val="right"/>
            </w:pPr>
            <w:r>
              <w:rPr>
                <w:sz w:val="18"/>
              </w:rPr>
              <w:t>-</w:t>
            </w:r>
          </w:p>
        </w:tc>
      </w:tr>
    </w:tbl>
    <w:p w14:paraId="5FE3287E" w14:textId="77777777" w:rsidR="00D54EF4" w:rsidRDefault="00D54EF4">
      <w:pPr>
        <w:spacing w:after="0"/>
      </w:pPr>
    </w:p>
    <w:p w14:paraId="289546D6" w14:textId="77777777" w:rsidR="00D54EF4" w:rsidRDefault="00957D41" w:rsidP="00957D41">
      <w:pPr>
        <w:jc w:val="both"/>
      </w:pPr>
      <w:r>
        <w:t>Nedospjele obveze se sastoje od međusobnih obveza subjekata općeg proračuna (obveze za bolovanje na teret HZZO) u iznosu od 101,13 eura, obveza za rashode poslovanja u iznosu od 53.563,09 eura (redovni režijski troškovi i plaća za mjesec prosinac), obveza za nabavu nefinancijske imovine u iznosu od 105.189,73 eura te obveza za jamčevne pologe u iznosu od 28.857,67 eura. </w:t>
      </w:r>
    </w:p>
    <w:p w14:paraId="01CB4A26" w14:textId="77777777" w:rsidR="00D54EF4" w:rsidRDefault="00D54EF4"/>
    <w:p w14:paraId="6EE85570" w14:textId="77777777" w:rsidR="00D54EF4" w:rsidRDefault="00957D41">
      <w:pPr>
        <w:keepNext/>
        <w:spacing w:line="240" w:lineRule="auto"/>
        <w:jc w:val="center"/>
      </w:pPr>
      <w:r>
        <w:rPr>
          <w:sz w:val="28"/>
        </w:rPr>
        <w:t>Bilješka 25.</w:t>
      </w:r>
    </w:p>
    <w:p w14:paraId="6222AE63" w14:textId="77777777" w:rsidR="00D54EF4" w:rsidRDefault="00957D41">
      <w:pPr>
        <w:spacing w:line="240" w:lineRule="auto"/>
        <w:jc w:val="both"/>
      </w:pPr>
      <w:r>
        <w:rPr>
          <w:b/>
        </w:rPr>
        <w:t>EU izvještaj</w:t>
      </w:r>
    </w:p>
    <w:p w14:paraId="6788F0BE" w14:textId="29416A48" w:rsidR="00D54EF4" w:rsidRDefault="00957D41" w:rsidP="00957D41">
      <w:pPr>
        <w:jc w:val="both"/>
      </w:pPr>
      <w:r>
        <w:t>Lučka uprava Vukovar u EU izvještaju ima iskazane prihode i primitke, rashode i izdatke te potraživanja i obračunate prihode na izvoru 563 za program prekogranične suradnje dosadašnjeg naziva Interreg „IPA CBC Hrvatska-Srbija – Intervencije na Dunavu" koji je subvencioniran EU sredstvima s 85%, a sredstva se ostvaruju temeljem kapitalnih pomoći iz proračuna JLP(R)S temeljem prijenosa EU sredstava koja uplaćuje Vukovarsko-srijemska županija kao nositelj projekta. U sklopu izvještavanja s izvora nacionalnog sufinanciranja (izvor 12) iskazani su rashodi nastali u izvještajnom razdoblju za gore navedeni projekt te tri CEF projekta: „Priprema projektne dokumentacije za izgradnju vertikalne obale u luci Vukovar“ i „Priprema Fairway 2 radova na koridoru Rajna-Dunav – privezišta za koje su podmireni rashodi isključivo za plaću za mjesec prosinac 2024. godine, nakon čega su projekti završeni te provedbu aktualnog projekta „Fairway Danube II – Budući koraci za unaprjeđenje plovidbe za rashode za projektno osoblje, službena putovanja, intelektualne usluge te dio ugovorene izrade projektne dokumentacije. </w:t>
      </w:r>
    </w:p>
    <w:p w14:paraId="0B888EA1" w14:textId="77777777" w:rsidR="00D54EF4" w:rsidRDefault="00D54EF4"/>
    <w:sectPr w:rsidR="00D54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F4"/>
    <w:rsid w:val="0007083F"/>
    <w:rsid w:val="00957D41"/>
    <w:rsid w:val="00A97D7C"/>
    <w:rsid w:val="00AE0320"/>
    <w:rsid w:val="00D54E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250F"/>
  <w15:docId w15:val="{7E557D9A-52C1-4900-ADCD-95F031A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3026</Words>
  <Characters>17249</Characters>
  <Application>Microsoft Office Word</Application>
  <DocSecurity>0</DocSecurity>
  <Lines>143</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Maria Mandarić</cp:lastModifiedBy>
  <cp:revision>3</cp:revision>
  <dcterms:created xsi:type="dcterms:W3CDTF">2026-02-03T08:57:00Z</dcterms:created>
  <dcterms:modified xsi:type="dcterms:W3CDTF">2026-02-03T09:02:00Z</dcterms:modified>
</cp:coreProperties>
</file>