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2868f94e371455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51280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LUČKA UPRAVA VUKOVAR</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1.081.715,17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2.542.681,42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948.995,20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900.848,90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132.719,97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1.641.832,52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479.640,32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1.940.671,30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479.640,32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1.940.671,30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346.920,35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298.838,78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86,1</w:t>
            </w:r>
          </w:p>
        </w:tc>
      </w:tr>
    </w:tbl>
    <w:p>
      <w:pPr>
        <w:spacing w:before="0" w:after="0"/>
      </w:pPr>
    </w:p>
    <w:p>
      <w:pPr>
        <w:jc w:val="both"/>
        <w:pStyle w:val="Normal"/>
        <w:spacing w:line="240" w:lineRule="auto"/>
      </w:pPr>
      <w:r>
        <w:rPr>
          <w:sz w:val="24"/>
          <w:rFonts w:ascii="Times New Roman" w:hAnsi="Times New Roman"/>
        </w:rPr>
        <w:t>U izvještajnom razdoblju Lučka uprava Vukovar ima 135% veće prihode poslovanja te 6% manje rashode poslovanja u odnosu na isto razdoblje prethodne godine. Ostvaren je višak prihoda poslovanja u iznosu od 1.641.832,52 eura dok je u istom razdoblju prethodne godine višak iznosio 132.719,97 eura. Došlo je do značajnog povećanja rashoda za nabavu nefinancijske imovine koji iznose 1.940.671,30 eura u odnosu na isto razdoblje prethodne godine kada su iznosili 479.640,32 eura. Najveći dio navedenih rashoda financiran je upravo od prihoda iz nadležnog proračuna za financiranje rashoda za nabavu nefinancijske imovine (ukupno 1.681.768,86 eura), za projekte građenja i modernizacije na lučkom području i njihovu realizaciju u izvještajnom razdoblju. Sukladno navedenom, ukupni rezultat iskazuje manjak prihoda i primitaka u iznosu 298.838,78 eura.</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61.567,20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24.677,67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w:t>
            </w:r>
          </w:p>
        </w:tc>
      </w:tr>
    </w:tbl>
    <w:p>
      <w:pPr>
        <w:spacing w:before="0" w:after="0"/>
      </w:pPr>
    </w:p>
    <w:p>
      <w:pPr>
        <w:jc w:val="both"/>
        <w:pStyle w:val="Normal"/>
        <w:spacing w:line="240" w:lineRule="auto"/>
      </w:pPr>
      <w:r>
        <w:rPr>
          <w:sz w:val="24"/>
          <w:rFonts w:ascii="Times New Roman" w:hAnsi="Times New Roman"/>
        </w:rPr>
        <w:t>U izvještajnom razdoblju ostvareni prihodi od nefinancijske imovine odnosno prihodi od naknada za koncesije manji su za 60% u odnosu na izvještajno razdoblje prethodne godine zbog kašnjenja u plaćanju koncesijskih naknada od strane koncesionara.</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219.774,88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295.149,08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w:t>
            </w:r>
          </w:p>
        </w:tc>
      </w:tr>
    </w:tbl>
    <w:p>
      <w:pPr>
        <w:spacing w:before="0" w:after="0"/>
      </w:pPr>
    </w:p>
    <w:p>
      <w:pPr>
        <w:jc w:val="both"/>
        <w:pStyle w:val="Normal"/>
        <w:spacing w:line="240" w:lineRule="auto"/>
      </w:pPr>
      <w:r>
        <w:rPr>
          <w:sz w:val="24"/>
          <w:rFonts w:ascii="Times New Roman" w:hAnsi="Times New Roman"/>
        </w:rPr>
        <w:t>U izvještajnom razdoblju ostvareni su veći prihodi od ostalih pristojbi i naknada (lučke pristojbe za uporabu obale) za 34% u odnosu na izvještajno razdoblje prethodne godine zbog povećanja jediničnih cijena pristojbi, dodatne pristojbe za zbrinjavanje fekalnih otpada s brodova te povećanja broja pristajanja riječnih kruzera.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758.023,61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2.210.039,64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291,6</w:t>
            </w:r>
          </w:p>
        </w:tc>
      </w:tr>
    </w:tbl>
    <w:p>
      <w:pPr>
        <w:spacing w:before="0" w:after="0"/>
      </w:pPr>
    </w:p>
    <w:p>
      <w:pPr>
        <w:jc w:val="both"/>
        <w:pStyle w:val="Normal"/>
        <w:spacing w:line="240" w:lineRule="auto"/>
      </w:pPr>
      <w:r>
        <w:rPr>
          <w:sz w:val="24"/>
          <w:rFonts w:ascii="Times New Roman" w:hAnsi="Times New Roman"/>
        </w:rPr>
        <w:t>U izvještajnom razdoblju je nastalo značajno povećanje prihoda iz nadležnog proračuna za financiranje rashoda za nabavu nefinancijske imovine u odnosu na razdoblje prethodne godine zbog povećanja rashoda za nabavu nefinancijske imovine koji se odnose na projekte građenja i modernizacije, od kojih je najznačajniji rashod za izgradnju poslovnog objekta (upravne zgrade).</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948.995,20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900.848,90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w:t>
            </w:r>
          </w:p>
        </w:tc>
      </w:tr>
    </w:tbl>
    <w:p>
      <w:pPr>
        <w:spacing w:before="0" w:after="0"/>
      </w:pPr>
    </w:p>
    <w:p>
      <w:pPr>
        <w:jc w:val="both"/>
        <w:pStyle w:val="Normal"/>
        <w:spacing w:line="240" w:lineRule="auto"/>
      </w:pPr>
      <w:r>
        <w:rPr>
          <w:sz w:val="24"/>
          <w:rFonts w:ascii="Times New Roman" w:hAnsi="Times New Roman"/>
        </w:rPr>
        <w:t>U izvještajnom razdoblju u odnosu na izvještajno razdoblje prethodne godine iskazano je povećanje rashoda za plaću u naravi (korištenje prijevoznih sredstava) što je rezultat promjene obračuna zbog kupovine službenog vozila nakon isteka leasinga po kojem je ranije obračunavan trošak plaće u naravi. Također, značajno povećanje za usluge promidžbe i informiranja odnosi se na nabavu promidžbenih materijala te objave u tiskanim i elektronskim medijima u sklopu projekta Interreg IPA CBC Hrvatska-Srbija – Intervencije na Dunavu, sukladno hodogramu projektnih aktivnosti. Značajno povećanje rashoda za premije osiguranja nastaje temeljem ugovorenih i podmirenih obveznih osiguranja za pokretnu i nepokretnu imovinu te djelatnika Lučke uprave Vukovar, dok je povećanje pristojbi i naknada rezultat nastalog nepredviđenog troška pri povratu vozila nakon isteka ugovora o leasingu.</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265.135,89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617.824,92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233,0</w:t>
            </w:r>
          </w:p>
        </w:tc>
      </w:tr>
    </w:tbl>
    <w:p>
      <w:pPr>
        <w:spacing w:before="0" w:after="0"/>
      </w:pPr>
    </w:p>
    <w:p>
      <w:pPr>
        <w:jc w:val="both"/>
        <w:pStyle w:val="Normal"/>
        <w:spacing w:line="240" w:lineRule="auto"/>
      </w:pPr>
      <w:r>
        <w:rPr>
          <w:sz w:val="24"/>
          <w:rFonts w:ascii="Times New Roman" w:hAnsi="Times New Roman"/>
        </w:rPr>
        <w:t>Obračunati nenaplaćeni prihodi poslovanja se sastoje od tekućih i kapitalnih pomoći od institucija i tijela EU u ukupnom iznosu od 393.551,94 eura, prihoda od nefinancijske imovine u iznosu od 69.661,82 eura, upravnih i administrativnih pristojba (obračun prihoda za uporabu obale) u iznosu od 150.263,21 eura, ostalih nespomenutih prihoda (naknada štete) u iznosu od 4.105,80 eura  te obračunatih prihoda od zakupa u iznosu od 242,15 eura.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421.459,07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1.628.559,89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386,4</w:t>
            </w:r>
          </w:p>
        </w:tc>
      </w:tr>
    </w:tbl>
    <w:p>
      <w:pPr>
        <w:spacing w:before="0" w:after="0"/>
      </w:pPr>
    </w:p>
    <w:p>
      <w:pPr>
        <w:jc w:val="both"/>
        <w:pStyle w:val="Normal"/>
        <w:spacing w:line="240" w:lineRule="auto"/>
      </w:pPr>
      <w:r>
        <w:rPr>
          <w:sz w:val="24"/>
          <w:rFonts w:ascii="Times New Roman" w:hAnsi="Times New Roman"/>
        </w:rPr>
        <w:t>Povećanje rashoda za nabavu proizvedene dugotrajne imovine u odnosu na izvještajno razdoblje prethodne godine odnosi se na povećan opseg projekata građenja i modernizacije odnosno troškove izrade projektne dokumentacije za buduća pristaništa i riječne marine na lučkom području, a najznačajniji trošak se odnosi na četiri privremene situacije za izgradnju upravne zgrade (poslovni objekti). U izvještajnom razdoblju je nabavljeno službeno vozilo za terenske poslove te oprema za putničko pristanište u Vukovaru i oprema za sustav kontrole na riječnoj marini u Batini.</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49.181,25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311.635,36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633,6</w:t>
            </w:r>
          </w:p>
        </w:tc>
      </w:tr>
    </w:tbl>
    <w:p>
      <w:pPr>
        <w:spacing w:before="0" w:after="0"/>
      </w:pPr>
    </w:p>
    <w:p>
      <w:pPr>
        <w:jc w:val="both"/>
        <w:pStyle w:val="Normal"/>
        <w:spacing w:line="240" w:lineRule="auto"/>
      </w:pPr>
      <w:r>
        <w:rPr>
          <w:sz w:val="24"/>
          <w:rFonts w:ascii="Times New Roman" w:hAnsi="Times New Roman"/>
        </w:rPr>
        <w:t>Povećanje rashoda za dodatna ulaganja na nefinancijskoj imovini odnose se na dodatno ulaganje na postojećem putničkom pristaništu Ilok za dogradnju novog pristupnog mosta, izradu projektne dokumentacije za proširenje postojećeg putničkog pristaništa u Aljmašu, izradu glavnog projekta za rekonstrukciju skladišne zgrade u luci Vukovar te izgradnju parkirališta i dodatne infrastrukture u sklopu postojećeg pristaništa u Iloku.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Ukupno stanje dospjelih obveza se odnosi na obveze za materijalne rashode zbog zaprimanja računa na plaćanje u krajnjem roku dospijeća. Sve obveze su podmirene slijedeći dan nakon izvještajnog razdoblja. </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316.318,58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Nedospjele obveze se sastoje od međusobnih obveza subjekata općeg proračuna (obveze za bolovanje na teret HZZO) u iznosu od 77,04 eura, obveza za rashode poslovanja u iznosu od 54.612,19 eura (redovni režijski troškovi i plaća za mjesec rujan), obveza za nabavu nefinancijske imovine u iznosu od 233.501,23 eura te obveza za jamčevne pologe u iznosu od 28.128,12.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0e365e833fe4eab" /></Relationships>
</file>