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CB3D7" w14:textId="47AD9CAB" w:rsidR="007A7E45" w:rsidRPr="007308F5" w:rsidRDefault="007308F5" w:rsidP="007308F5">
      <w:pPr>
        <w:shd w:val="clear" w:color="auto" w:fill="BFBFBF" w:themeFill="background1" w:themeFillShade="BF"/>
        <w:rPr>
          <w:b/>
          <w:bCs/>
          <w:sz w:val="28"/>
          <w:szCs w:val="28"/>
        </w:rPr>
      </w:pPr>
      <w:r w:rsidRPr="008F1A1E">
        <w:rPr>
          <w:b/>
          <w:bCs/>
          <w:sz w:val="28"/>
          <w:szCs w:val="28"/>
        </w:rPr>
        <w:t>OBRAZLOŽENJE POSEBNOG DIJELA FINANCIJSKOG PLANA 202</w:t>
      </w:r>
      <w:r>
        <w:rPr>
          <w:b/>
          <w:bCs/>
          <w:sz w:val="28"/>
          <w:szCs w:val="28"/>
        </w:rPr>
        <w:t>5</w:t>
      </w:r>
      <w:r w:rsidRPr="008F1A1E">
        <w:rPr>
          <w:b/>
          <w:bCs/>
          <w:sz w:val="28"/>
          <w:szCs w:val="28"/>
        </w:rPr>
        <w:t>.-202</w:t>
      </w:r>
      <w:r>
        <w:rPr>
          <w:b/>
          <w:bCs/>
          <w:sz w:val="28"/>
          <w:szCs w:val="28"/>
        </w:rPr>
        <w:t>7</w:t>
      </w:r>
      <w:r w:rsidRPr="008F1A1E">
        <w:rPr>
          <w:b/>
          <w:bCs/>
          <w:sz w:val="28"/>
          <w:szCs w:val="28"/>
        </w:rPr>
        <w:t>.</w:t>
      </w:r>
    </w:p>
    <w:p w14:paraId="1E0C36D8" w14:textId="77777777" w:rsidR="000A2CAE" w:rsidRDefault="00B95D65">
      <w:pPr>
        <w:pStyle w:val="Heading3"/>
      </w:pPr>
      <w:r>
        <w:rPr>
          <w:rFonts w:cs="Times New Roman"/>
        </w:rPr>
        <w:t>51280 Javna ustanova Lučka uprava Vukovar</w:t>
      </w:r>
    </w:p>
    <w:p w14:paraId="55A0BA22" w14:textId="77777777" w:rsidR="000A2CAE" w:rsidRDefault="00B95D65" w:rsidP="007308F5">
      <w:pPr>
        <w:pStyle w:val="Normal5"/>
        <w:ind w:left="0"/>
      </w:pPr>
      <w:r>
        <w:t>Lučka uprava Vukovar je javna ustanova za upravljanje lukama i pristaništima na rijeci Dunav. Osnovana je od strane Republike Hrvatske 2001. godine na temelju Zakona o plovidbi i lukama unutarnjih voda. Djelatnosti Lučke uprave su organizacija i nadzor pristajanja i manevriranja plovila u luci, kontrola lučkog prometa, ulazaka i izlazaka prijevoznih sredstava i tereta, održavanje, izgradnja i modernizacija zajedničkih lučkih građevina, izgradnja i modernizacija lučkih građevina u ime Republike Hrvatske, upravljanje nekretninama na lučkom području na kojima ima pravo građenja, upravljanje slobodnom zonom na lučkom području koja je osnovana odlukom Vlade Republike Hrvatske sukladno propisima koji uređuju slobodne zone, obavljanje stručnih poslova u vezi s davanjem Odobrenja, nadzor nad radom lučkih operatera i korisnika luke koji obavljaju lučke djelatnosti, marketing i promocija luke na transportnom tržištu, osiguravanje pružanja usluga od općeg interesa ili za koje ne postoji interes drugih gospodarskih subjekata, izrada prijedloga planskih dokumenata za razvitak lučkog sustava, tehnička pomoć tijelima lokalne i područne (regionalne) samouprave na području razvoja luka i pristaništa te drugi poslovi utvrđeni Zakonom o plovidbi i lukama unutarnjih voda.</w:t>
      </w:r>
    </w:p>
    <w:tbl>
      <w:tblPr>
        <w:tblStyle w:val="StilTablice"/>
        <w:tblW w:w="10206" w:type="dxa"/>
        <w:jc w:val="center"/>
        <w:tblLook w:val="04A0" w:firstRow="1" w:lastRow="0" w:firstColumn="1" w:lastColumn="0" w:noHBand="0" w:noVBand="1"/>
      </w:tblPr>
      <w:tblGrid>
        <w:gridCol w:w="1456"/>
        <w:gridCol w:w="1556"/>
        <w:gridCol w:w="1556"/>
        <w:gridCol w:w="1556"/>
        <w:gridCol w:w="1556"/>
        <w:gridCol w:w="1556"/>
        <w:gridCol w:w="970"/>
      </w:tblGrid>
      <w:tr w:rsidR="000A2CAE" w14:paraId="4709B020" w14:textId="77777777">
        <w:trPr>
          <w:jc w:val="center"/>
        </w:trPr>
        <w:tc>
          <w:tcPr>
            <w:tcW w:w="1530" w:type="dxa"/>
            <w:shd w:val="clear" w:color="auto" w:fill="B5C0D8"/>
          </w:tcPr>
          <w:p w14:paraId="12119700" w14:textId="77777777" w:rsidR="000A2CAE" w:rsidRDefault="000A2CAE">
            <w:pPr>
              <w:pStyle w:val="CellHeader"/>
            </w:pPr>
          </w:p>
        </w:tc>
        <w:tc>
          <w:tcPr>
            <w:tcW w:w="1632" w:type="dxa"/>
            <w:shd w:val="clear" w:color="auto" w:fill="B5C0D8"/>
          </w:tcPr>
          <w:p w14:paraId="47DA9D03" w14:textId="77777777" w:rsidR="000A2CAE" w:rsidRDefault="00B95D65">
            <w:pPr>
              <w:pStyle w:val="CellHeader"/>
            </w:pPr>
            <w:r>
              <w:rPr>
                <w:rFonts w:cs="Times New Roman"/>
              </w:rPr>
              <w:t>Izvršenje 2023. (eur)</w:t>
            </w:r>
          </w:p>
        </w:tc>
        <w:tc>
          <w:tcPr>
            <w:tcW w:w="1632" w:type="dxa"/>
            <w:shd w:val="clear" w:color="auto" w:fill="B5C0D8"/>
          </w:tcPr>
          <w:p w14:paraId="28C656E8" w14:textId="77777777" w:rsidR="000A2CAE" w:rsidRDefault="00B95D65">
            <w:pPr>
              <w:pStyle w:val="CellHeader"/>
            </w:pPr>
            <w:r>
              <w:rPr>
                <w:rFonts w:cs="Times New Roman"/>
              </w:rPr>
              <w:t>Plan 2024. (eur)</w:t>
            </w:r>
          </w:p>
        </w:tc>
        <w:tc>
          <w:tcPr>
            <w:tcW w:w="1632" w:type="dxa"/>
            <w:shd w:val="clear" w:color="auto" w:fill="B5C0D8"/>
          </w:tcPr>
          <w:p w14:paraId="5C00BB73" w14:textId="77777777" w:rsidR="000A2CAE" w:rsidRDefault="00B95D65">
            <w:pPr>
              <w:pStyle w:val="CellHeader"/>
            </w:pPr>
            <w:r>
              <w:rPr>
                <w:rFonts w:cs="Times New Roman"/>
              </w:rPr>
              <w:t>Plan 2025. (eur)</w:t>
            </w:r>
          </w:p>
        </w:tc>
        <w:tc>
          <w:tcPr>
            <w:tcW w:w="1632" w:type="dxa"/>
            <w:shd w:val="clear" w:color="auto" w:fill="B5C0D8"/>
          </w:tcPr>
          <w:p w14:paraId="23241B52" w14:textId="77777777" w:rsidR="000A2CAE" w:rsidRDefault="00B95D65">
            <w:pPr>
              <w:pStyle w:val="CellHeader"/>
            </w:pPr>
            <w:r>
              <w:rPr>
                <w:rFonts w:cs="Times New Roman"/>
              </w:rPr>
              <w:t>Plan 2026. (eur)</w:t>
            </w:r>
          </w:p>
        </w:tc>
        <w:tc>
          <w:tcPr>
            <w:tcW w:w="1632" w:type="dxa"/>
            <w:shd w:val="clear" w:color="auto" w:fill="B5C0D8"/>
          </w:tcPr>
          <w:p w14:paraId="3B38EBE3" w14:textId="77777777" w:rsidR="000A2CAE" w:rsidRDefault="00B95D65">
            <w:pPr>
              <w:pStyle w:val="CellHeader"/>
            </w:pPr>
            <w:r>
              <w:rPr>
                <w:rFonts w:cs="Times New Roman"/>
              </w:rPr>
              <w:t>Plan 2027. (eur)</w:t>
            </w:r>
          </w:p>
        </w:tc>
        <w:tc>
          <w:tcPr>
            <w:tcW w:w="510" w:type="dxa"/>
            <w:shd w:val="clear" w:color="auto" w:fill="B5C0D8"/>
          </w:tcPr>
          <w:p w14:paraId="11BE27CD" w14:textId="77777777" w:rsidR="000A2CAE" w:rsidRDefault="00B95D65">
            <w:pPr>
              <w:pStyle w:val="CellHeader"/>
            </w:pPr>
            <w:r>
              <w:rPr>
                <w:rFonts w:cs="Times New Roman"/>
              </w:rPr>
              <w:t>Indeks 2025/2024</w:t>
            </w:r>
          </w:p>
        </w:tc>
      </w:tr>
      <w:tr w:rsidR="000A2CAE" w14:paraId="13DB3732" w14:textId="77777777">
        <w:trPr>
          <w:jc w:val="center"/>
        </w:trPr>
        <w:tc>
          <w:tcPr>
            <w:tcW w:w="1530" w:type="dxa"/>
          </w:tcPr>
          <w:p w14:paraId="59B68E7F" w14:textId="77777777" w:rsidR="000A2CAE" w:rsidRDefault="00B95D65">
            <w:pPr>
              <w:pStyle w:val="CellColumn"/>
            </w:pPr>
            <w:r>
              <w:rPr>
                <w:rFonts w:cs="Times New Roman"/>
              </w:rPr>
              <w:t>51280-Javna ustanova Lučka uprava Vukovar</w:t>
            </w:r>
          </w:p>
        </w:tc>
        <w:tc>
          <w:tcPr>
            <w:tcW w:w="1632" w:type="dxa"/>
          </w:tcPr>
          <w:p w14:paraId="4B8573EE" w14:textId="5462224A" w:rsidR="000A2CAE" w:rsidRDefault="00F24959">
            <w:pPr>
              <w:pStyle w:val="CellColumn"/>
            </w:pPr>
            <w:r>
              <w:rPr>
                <w:rFonts w:cs="Times New Roman"/>
              </w:rPr>
              <w:t>3.315.005</w:t>
            </w:r>
          </w:p>
        </w:tc>
        <w:tc>
          <w:tcPr>
            <w:tcW w:w="1632" w:type="dxa"/>
          </w:tcPr>
          <w:p w14:paraId="59BD4A79" w14:textId="77777777" w:rsidR="000A2CAE" w:rsidRDefault="00B95D65">
            <w:pPr>
              <w:pStyle w:val="CellColumn"/>
            </w:pPr>
            <w:r>
              <w:rPr>
                <w:rFonts w:cs="Times New Roman"/>
              </w:rPr>
              <w:t>5.749.828</w:t>
            </w:r>
          </w:p>
        </w:tc>
        <w:tc>
          <w:tcPr>
            <w:tcW w:w="1632" w:type="dxa"/>
          </w:tcPr>
          <w:p w14:paraId="4DDEFC11" w14:textId="77777777" w:rsidR="000A2CAE" w:rsidRDefault="00B95D65">
            <w:pPr>
              <w:pStyle w:val="CellColumn"/>
            </w:pPr>
            <w:r>
              <w:rPr>
                <w:rFonts w:cs="Times New Roman"/>
              </w:rPr>
              <w:t>7.538.553</w:t>
            </w:r>
          </w:p>
        </w:tc>
        <w:tc>
          <w:tcPr>
            <w:tcW w:w="1632" w:type="dxa"/>
          </w:tcPr>
          <w:p w14:paraId="7E78F888" w14:textId="77777777" w:rsidR="000A2CAE" w:rsidRDefault="00B95D65">
            <w:pPr>
              <w:pStyle w:val="CellColumn"/>
            </w:pPr>
            <w:r>
              <w:rPr>
                <w:rFonts w:cs="Times New Roman"/>
              </w:rPr>
              <w:t>6.816.028</w:t>
            </w:r>
          </w:p>
        </w:tc>
        <w:tc>
          <w:tcPr>
            <w:tcW w:w="1632" w:type="dxa"/>
          </w:tcPr>
          <w:p w14:paraId="01E369E1" w14:textId="77777777" w:rsidR="000A2CAE" w:rsidRDefault="00B95D65">
            <w:pPr>
              <w:pStyle w:val="CellColumn"/>
            </w:pPr>
            <w:r>
              <w:rPr>
                <w:rFonts w:cs="Times New Roman"/>
              </w:rPr>
              <w:t>6.290.670</w:t>
            </w:r>
          </w:p>
        </w:tc>
        <w:tc>
          <w:tcPr>
            <w:tcW w:w="510" w:type="dxa"/>
          </w:tcPr>
          <w:p w14:paraId="0C618295" w14:textId="77777777" w:rsidR="000A2CAE" w:rsidRDefault="00B95D65">
            <w:pPr>
              <w:pStyle w:val="CellColumn"/>
            </w:pPr>
            <w:r>
              <w:rPr>
                <w:rFonts w:cs="Times New Roman"/>
              </w:rPr>
              <w:t>131,1</w:t>
            </w:r>
          </w:p>
        </w:tc>
      </w:tr>
    </w:tbl>
    <w:p w14:paraId="5BE131F3" w14:textId="77777777" w:rsidR="000A2CAE" w:rsidRDefault="000A2CAE">
      <w:pPr>
        <w:jc w:val="left"/>
      </w:pPr>
    </w:p>
    <w:p w14:paraId="69461C17" w14:textId="77777777" w:rsidR="000A2CAE" w:rsidRDefault="00B95D65">
      <w:pPr>
        <w:pStyle w:val="Heading5"/>
      </w:pPr>
      <w:r>
        <w:t>3111 PRIPREMA I PROVEDBA PROJEKATA SUFINANCIRANIH SREDSTVIMA FONDOVA EU</w:t>
      </w:r>
    </w:p>
    <w:tbl>
      <w:tblPr>
        <w:tblStyle w:val="StilTablice"/>
        <w:tblW w:w="10206" w:type="dxa"/>
        <w:jc w:val="center"/>
        <w:tblLook w:val="04A0" w:firstRow="1" w:lastRow="0" w:firstColumn="1" w:lastColumn="0" w:noHBand="0" w:noVBand="1"/>
      </w:tblPr>
      <w:tblGrid>
        <w:gridCol w:w="1815"/>
        <w:gridCol w:w="1502"/>
        <w:gridCol w:w="1488"/>
        <w:gridCol w:w="1488"/>
        <w:gridCol w:w="1488"/>
        <w:gridCol w:w="1455"/>
        <w:gridCol w:w="970"/>
      </w:tblGrid>
      <w:tr w:rsidR="000A2CAE" w14:paraId="629F6328" w14:textId="77777777">
        <w:trPr>
          <w:jc w:val="center"/>
        </w:trPr>
        <w:tc>
          <w:tcPr>
            <w:tcW w:w="1530" w:type="dxa"/>
            <w:shd w:val="clear" w:color="auto" w:fill="B5C0D8"/>
          </w:tcPr>
          <w:p w14:paraId="41B09A96" w14:textId="77777777" w:rsidR="000A2CAE" w:rsidRDefault="000A2CAE">
            <w:pPr>
              <w:pStyle w:val="CellHeader"/>
            </w:pPr>
          </w:p>
        </w:tc>
        <w:tc>
          <w:tcPr>
            <w:tcW w:w="1632" w:type="dxa"/>
            <w:shd w:val="clear" w:color="auto" w:fill="B5C0D8"/>
          </w:tcPr>
          <w:p w14:paraId="2F274C7A" w14:textId="77777777" w:rsidR="000A2CAE" w:rsidRDefault="00B95D65">
            <w:pPr>
              <w:pStyle w:val="CellHeader"/>
            </w:pPr>
            <w:r>
              <w:rPr>
                <w:rFonts w:cs="Times New Roman"/>
              </w:rPr>
              <w:t>Izvršenje 2023. (eur)</w:t>
            </w:r>
          </w:p>
        </w:tc>
        <w:tc>
          <w:tcPr>
            <w:tcW w:w="1632" w:type="dxa"/>
            <w:shd w:val="clear" w:color="auto" w:fill="B5C0D8"/>
          </w:tcPr>
          <w:p w14:paraId="11ADB1F3" w14:textId="77777777" w:rsidR="000A2CAE" w:rsidRDefault="00B95D65">
            <w:pPr>
              <w:pStyle w:val="CellHeader"/>
            </w:pPr>
            <w:r>
              <w:rPr>
                <w:rFonts w:cs="Times New Roman"/>
              </w:rPr>
              <w:t>Plan 2024. (eur)</w:t>
            </w:r>
          </w:p>
        </w:tc>
        <w:tc>
          <w:tcPr>
            <w:tcW w:w="1632" w:type="dxa"/>
            <w:shd w:val="clear" w:color="auto" w:fill="B5C0D8"/>
          </w:tcPr>
          <w:p w14:paraId="4F9071A5" w14:textId="77777777" w:rsidR="000A2CAE" w:rsidRDefault="00B95D65">
            <w:pPr>
              <w:pStyle w:val="CellHeader"/>
            </w:pPr>
            <w:r>
              <w:rPr>
                <w:rFonts w:cs="Times New Roman"/>
              </w:rPr>
              <w:t>Plan 2025. (eur)</w:t>
            </w:r>
          </w:p>
        </w:tc>
        <w:tc>
          <w:tcPr>
            <w:tcW w:w="1632" w:type="dxa"/>
            <w:shd w:val="clear" w:color="auto" w:fill="B5C0D8"/>
          </w:tcPr>
          <w:p w14:paraId="7364B3E2" w14:textId="77777777" w:rsidR="000A2CAE" w:rsidRDefault="00B95D65">
            <w:pPr>
              <w:pStyle w:val="CellHeader"/>
            </w:pPr>
            <w:r>
              <w:rPr>
                <w:rFonts w:cs="Times New Roman"/>
              </w:rPr>
              <w:t>Plan 2026. (eur)</w:t>
            </w:r>
          </w:p>
        </w:tc>
        <w:tc>
          <w:tcPr>
            <w:tcW w:w="1632" w:type="dxa"/>
            <w:shd w:val="clear" w:color="auto" w:fill="B5C0D8"/>
          </w:tcPr>
          <w:p w14:paraId="7955E959" w14:textId="77777777" w:rsidR="000A2CAE" w:rsidRDefault="00B95D65">
            <w:pPr>
              <w:pStyle w:val="CellHeader"/>
            </w:pPr>
            <w:r>
              <w:rPr>
                <w:rFonts w:cs="Times New Roman"/>
              </w:rPr>
              <w:t>Plan 2027. (eur)</w:t>
            </w:r>
          </w:p>
        </w:tc>
        <w:tc>
          <w:tcPr>
            <w:tcW w:w="510" w:type="dxa"/>
            <w:shd w:val="clear" w:color="auto" w:fill="B5C0D8"/>
          </w:tcPr>
          <w:p w14:paraId="6FE5EC19" w14:textId="77777777" w:rsidR="000A2CAE" w:rsidRDefault="00B95D65">
            <w:pPr>
              <w:pStyle w:val="CellHeader"/>
            </w:pPr>
            <w:r>
              <w:rPr>
                <w:rFonts w:cs="Times New Roman"/>
              </w:rPr>
              <w:t>Indeks 2025/2024</w:t>
            </w:r>
          </w:p>
        </w:tc>
      </w:tr>
      <w:tr w:rsidR="000A2CAE" w14:paraId="5DF4875B" w14:textId="77777777">
        <w:trPr>
          <w:jc w:val="center"/>
        </w:trPr>
        <w:tc>
          <w:tcPr>
            <w:tcW w:w="1530" w:type="dxa"/>
          </w:tcPr>
          <w:p w14:paraId="17ABDAE9" w14:textId="77777777" w:rsidR="000A2CAE" w:rsidRDefault="00B95D65">
            <w:pPr>
              <w:pStyle w:val="CellColumn"/>
            </w:pPr>
            <w:r>
              <w:rPr>
                <w:rFonts w:cs="Times New Roman"/>
              </w:rPr>
              <w:t>3111-PRIPREMA I PROVEDBA PROJEKATA SUFINANCIRANIH SREDSTVIMA FONDOVA EU</w:t>
            </w:r>
          </w:p>
        </w:tc>
        <w:tc>
          <w:tcPr>
            <w:tcW w:w="1632" w:type="dxa"/>
          </w:tcPr>
          <w:p w14:paraId="36F9ED45" w14:textId="77777777" w:rsidR="000A2CAE" w:rsidRDefault="00B95D65">
            <w:pPr>
              <w:pStyle w:val="CellColumn"/>
            </w:pPr>
            <w:r>
              <w:rPr>
                <w:rFonts w:cs="Times New Roman"/>
              </w:rPr>
              <w:t>00</w:t>
            </w:r>
          </w:p>
        </w:tc>
        <w:tc>
          <w:tcPr>
            <w:tcW w:w="1632" w:type="dxa"/>
          </w:tcPr>
          <w:p w14:paraId="2D1034A1" w14:textId="77777777" w:rsidR="000A2CAE" w:rsidRDefault="00B95D65">
            <w:pPr>
              <w:pStyle w:val="CellColumn"/>
            </w:pPr>
            <w:r>
              <w:rPr>
                <w:rFonts w:cs="Times New Roman"/>
              </w:rPr>
              <w:t>142.250</w:t>
            </w:r>
          </w:p>
        </w:tc>
        <w:tc>
          <w:tcPr>
            <w:tcW w:w="1632" w:type="dxa"/>
          </w:tcPr>
          <w:p w14:paraId="61BFBFAE" w14:textId="77777777" w:rsidR="000A2CAE" w:rsidRDefault="00B95D65">
            <w:pPr>
              <w:pStyle w:val="CellColumn"/>
            </w:pPr>
            <w:r>
              <w:rPr>
                <w:rFonts w:cs="Times New Roman"/>
              </w:rPr>
              <w:t>489.750</w:t>
            </w:r>
          </w:p>
        </w:tc>
        <w:tc>
          <w:tcPr>
            <w:tcW w:w="1632" w:type="dxa"/>
          </w:tcPr>
          <w:p w14:paraId="14296316" w14:textId="77777777" w:rsidR="000A2CAE" w:rsidRDefault="00B95D65">
            <w:pPr>
              <w:pStyle w:val="CellColumn"/>
            </w:pPr>
            <w:r>
              <w:rPr>
                <w:rFonts w:cs="Times New Roman"/>
              </w:rPr>
              <w:t>245.375</w:t>
            </w:r>
          </w:p>
        </w:tc>
        <w:tc>
          <w:tcPr>
            <w:tcW w:w="1632" w:type="dxa"/>
          </w:tcPr>
          <w:p w14:paraId="12CAF38C" w14:textId="77777777" w:rsidR="000A2CAE" w:rsidRDefault="00B95D65">
            <w:pPr>
              <w:pStyle w:val="CellColumn"/>
            </w:pPr>
            <w:r>
              <w:rPr>
                <w:rFonts w:cs="Times New Roman"/>
              </w:rPr>
              <w:t>00</w:t>
            </w:r>
          </w:p>
        </w:tc>
        <w:tc>
          <w:tcPr>
            <w:tcW w:w="510" w:type="dxa"/>
          </w:tcPr>
          <w:p w14:paraId="0EEE1050" w14:textId="77777777" w:rsidR="000A2CAE" w:rsidRDefault="00B95D65">
            <w:pPr>
              <w:pStyle w:val="CellColumn"/>
            </w:pPr>
            <w:r>
              <w:rPr>
                <w:rFonts w:cs="Times New Roman"/>
              </w:rPr>
              <w:t>344,3</w:t>
            </w:r>
          </w:p>
        </w:tc>
      </w:tr>
    </w:tbl>
    <w:p w14:paraId="08F9940A" w14:textId="77777777" w:rsidR="000A2CAE" w:rsidRDefault="000A2CAE">
      <w:pPr>
        <w:jc w:val="left"/>
      </w:pPr>
    </w:p>
    <w:p w14:paraId="69B0FF46" w14:textId="77777777" w:rsidR="000A2CAE" w:rsidRDefault="00B95D65">
      <w:pPr>
        <w:pStyle w:val="Heading7"/>
      </w:pPr>
      <w:r>
        <w:t xml:space="preserve">Cilj 1. Uspješna priprema i praćenje provedbe projekata sufinanciranih sredstvima fondova EU </w:t>
      </w:r>
    </w:p>
    <w:p w14:paraId="463E10BF" w14:textId="77777777" w:rsidR="000A2CAE" w:rsidRDefault="00B95D65">
      <w:pPr>
        <w:pStyle w:val="Heading8"/>
        <w:jc w:val="left"/>
      </w:pPr>
      <w:r>
        <w:t>Pokazatelji učinka</w:t>
      </w:r>
    </w:p>
    <w:tbl>
      <w:tblPr>
        <w:tblStyle w:val="StilTablice"/>
        <w:tblW w:w="10206" w:type="dxa"/>
        <w:jc w:val="center"/>
        <w:tblLook w:val="04A0" w:firstRow="1" w:lastRow="0" w:firstColumn="1" w:lastColumn="0" w:noHBand="0" w:noVBand="1"/>
      </w:tblPr>
      <w:tblGrid>
        <w:gridCol w:w="2292"/>
        <w:gridCol w:w="2292"/>
        <w:gridCol w:w="937"/>
        <w:gridCol w:w="937"/>
        <w:gridCol w:w="937"/>
        <w:gridCol w:w="937"/>
        <w:gridCol w:w="937"/>
        <w:gridCol w:w="937"/>
      </w:tblGrid>
      <w:tr w:rsidR="000A2CAE" w14:paraId="0FAA6B10" w14:textId="77777777">
        <w:trPr>
          <w:jc w:val="center"/>
        </w:trPr>
        <w:tc>
          <w:tcPr>
            <w:tcW w:w="2245" w:type="dxa"/>
            <w:shd w:val="clear" w:color="auto" w:fill="B5C0D8"/>
          </w:tcPr>
          <w:p w14:paraId="561553F1" w14:textId="77777777" w:rsidR="000A2CAE" w:rsidRDefault="00B95D65">
            <w:r>
              <w:t>Pokazatelj učinka</w:t>
            </w:r>
          </w:p>
        </w:tc>
        <w:tc>
          <w:tcPr>
            <w:tcW w:w="2245" w:type="dxa"/>
            <w:shd w:val="clear" w:color="auto" w:fill="B5C0D8"/>
          </w:tcPr>
          <w:p w14:paraId="0B421541" w14:textId="77777777" w:rsidR="000A2CAE" w:rsidRDefault="00B95D65">
            <w:pPr>
              <w:pStyle w:val="CellHeader"/>
            </w:pPr>
            <w:r>
              <w:rPr>
                <w:rFonts w:cs="Times New Roman"/>
              </w:rPr>
              <w:t>Definicija</w:t>
            </w:r>
          </w:p>
        </w:tc>
        <w:tc>
          <w:tcPr>
            <w:tcW w:w="918" w:type="dxa"/>
            <w:shd w:val="clear" w:color="auto" w:fill="B5C0D8"/>
          </w:tcPr>
          <w:p w14:paraId="013603C8" w14:textId="77777777" w:rsidR="000A2CAE" w:rsidRDefault="00B95D65">
            <w:pPr>
              <w:pStyle w:val="CellHeader"/>
            </w:pPr>
            <w:r>
              <w:rPr>
                <w:rFonts w:cs="Times New Roman"/>
              </w:rPr>
              <w:t>Jedinica</w:t>
            </w:r>
          </w:p>
        </w:tc>
        <w:tc>
          <w:tcPr>
            <w:tcW w:w="918" w:type="dxa"/>
            <w:shd w:val="clear" w:color="auto" w:fill="B5C0D8"/>
          </w:tcPr>
          <w:p w14:paraId="103BC6BB" w14:textId="77777777" w:rsidR="000A2CAE" w:rsidRDefault="00B95D65">
            <w:pPr>
              <w:pStyle w:val="CellHeader"/>
            </w:pPr>
            <w:r>
              <w:rPr>
                <w:rFonts w:cs="Times New Roman"/>
              </w:rPr>
              <w:t>Polazna vrijednost</w:t>
            </w:r>
          </w:p>
        </w:tc>
        <w:tc>
          <w:tcPr>
            <w:tcW w:w="918" w:type="dxa"/>
            <w:shd w:val="clear" w:color="auto" w:fill="B5C0D8"/>
          </w:tcPr>
          <w:p w14:paraId="6043BAD1" w14:textId="77777777" w:rsidR="000A2CAE" w:rsidRDefault="00B95D65">
            <w:pPr>
              <w:pStyle w:val="CellHeader"/>
            </w:pPr>
            <w:r>
              <w:rPr>
                <w:rFonts w:cs="Times New Roman"/>
              </w:rPr>
              <w:t>Izvor podataka</w:t>
            </w:r>
          </w:p>
        </w:tc>
        <w:tc>
          <w:tcPr>
            <w:tcW w:w="918" w:type="dxa"/>
            <w:shd w:val="clear" w:color="auto" w:fill="B5C0D8"/>
          </w:tcPr>
          <w:p w14:paraId="2162C2D3" w14:textId="77777777" w:rsidR="000A2CAE" w:rsidRDefault="00B95D65">
            <w:pPr>
              <w:pStyle w:val="CellHeader"/>
            </w:pPr>
            <w:r>
              <w:rPr>
                <w:rFonts w:cs="Times New Roman"/>
              </w:rPr>
              <w:t>Ciljana vrijednost (2025.)</w:t>
            </w:r>
          </w:p>
        </w:tc>
        <w:tc>
          <w:tcPr>
            <w:tcW w:w="918" w:type="dxa"/>
            <w:shd w:val="clear" w:color="auto" w:fill="B5C0D8"/>
          </w:tcPr>
          <w:p w14:paraId="64D8E12E" w14:textId="77777777" w:rsidR="000A2CAE" w:rsidRDefault="00B95D65">
            <w:pPr>
              <w:pStyle w:val="CellHeader"/>
            </w:pPr>
            <w:r>
              <w:rPr>
                <w:rFonts w:cs="Times New Roman"/>
              </w:rPr>
              <w:t>Ciljana vrijednost (2026.)</w:t>
            </w:r>
          </w:p>
        </w:tc>
        <w:tc>
          <w:tcPr>
            <w:tcW w:w="918" w:type="dxa"/>
            <w:shd w:val="clear" w:color="auto" w:fill="B5C0D8"/>
          </w:tcPr>
          <w:p w14:paraId="6F439B51" w14:textId="77777777" w:rsidR="000A2CAE" w:rsidRDefault="00B95D65">
            <w:pPr>
              <w:pStyle w:val="CellHeader"/>
            </w:pPr>
            <w:r>
              <w:rPr>
                <w:rFonts w:cs="Times New Roman"/>
              </w:rPr>
              <w:t>Ciljana vrijednost (2027.)</w:t>
            </w:r>
          </w:p>
        </w:tc>
      </w:tr>
      <w:tr w:rsidR="000A2CAE" w14:paraId="521504DE" w14:textId="77777777">
        <w:trPr>
          <w:jc w:val="center"/>
        </w:trPr>
        <w:tc>
          <w:tcPr>
            <w:tcW w:w="2245" w:type="dxa"/>
          </w:tcPr>
          <w:p w14:paraId="17DA0960" w14:textId="77777777" w:rsidR="000A2CAE" w:rsidRDefault="00B95D65">
            <w:pPr>
              <w:pStyle w:val="CellColumn"/>
            </w:pPr>
            <w:r>
              <w:rPr>
                <w:rFonts w:cs="Times New Roman"/>
              </w:rPr>
              <w:t>Stupanj provođenja projekta sukladno projektnom planu</w:t>
            </w:r>
          </w:p>
        </w:tc>
        <w:tc>
          <w:tcPr>
            <w:tcW w:w="2245" w:type="dxa"/>
          </w:tcPr>
          <w:p w14:paraId="22A66312" w14:textId="77777777" w:rsidR="000A2CAE" w:rsidRDefault="00B95D65">
            <w:pPr>
              <w:pStyle w:val="CellColumn"/>
            </w:pPr>
            <w:r>
              <w:rPr>
                <w:rFonts w:cs="Times New Roman"/>
              </w:rPr>
              <w:t>Učinkovitost realizacije pripreme projekata sufinanciranih sredstvima fondova EU</w:t>
            </w:r>
          </w:p>
        </w:tc>
        <w:tc>
          <w:tcPr>
            <w:tcW w:w="918" w:type="dxa"/>
          </w:tcPr>
          <w:p w14:paraId="6433700B" w14:textId="77777777" w:rsidR="000A2CAE" w:rsidRDefault="00B95D65">
            <w:pPr>
              <w:pStyle w:val="CellColumn"/>
            </w:pPr>
            <w:r>
              <w:rPr>
                <w:rFonts w:cs="Times New Roman"/>
              </w:rPr>
              <w:t>%</w:t>
            </w:r>
          </w:p>
        </w:tc>
        <w:tc>
          <w:tcPr>
            <w:tcW w:w="918" w:type="dxa"/>
          </w:tcPr>
          <w:p w14:paraId="245E5347" w14:textId="77777777" w:rsidR="000A2CAE" w:rsidRDefault="00B95D65">
            <w:pPr>
              <w:pStyle w:val="CellColumn"/>
            </w:pPr>
            <w:r>
              <w:rPr>
                <w:rFonts w:cs="Times New Roman"/>
              </w:rPr>
              <w:t>0</w:t>
            </w:r>
          </w:p>
        </w:tc>
        <w:tc>
          <w:tcPr>
            <w:tcW w:w="918" w:type="dxa"/>
          </w:tcPr>
          <w:p w14:paraId="51AD993E" w14:textId="77777777" w:rsidR="000A2CAE" w:rsidRDefault="00B95D65">
            <w:pPr>
              <w:pStyle w:val="CellColumn"/>
            </w:pPr>
            <w:r>
              <w:rPr>
                <w:rFonts w:cs="Times New Roman"/>
              </w:rPr>
              <w:t>Lučka uprava Vukovar</w:t>
            </w:r>
          </w:p>
        </w:tc>
        <w:tc>
          <w:tcPr>
            <w:tcW w:w="918" w:type="dxa"/>
          </w:tcPr>
          <w:p w14:paraId="0BDCC02F" w14:textId="77777777" w:rsidR="000A2CAE" w:rsidRDefault="00B95D65">
            <w:pPr>
              <w:pStyle w:val="CellColumn"/>
            </w:pPr>
            <w:r>
              <w:rPr>
                <w:rFonts w:cs="Times New Roman"/>
              </w:rPr>
              <w:t>66</w:t>
            </w:r>
          </w:p>
        </w:tc>
        <w:tc>
          <w:tcPr>
            <w:tcW w:w="918" w:type="dxa"/>
          </w:tcPr>
          <w:p w14:paraId="2EC58AB1" w14:textId="77777777" w:rsidR="000A2CAE" w:rsidRDefault="00B95D65">
            <w:pPr>
              <w:pStyle w:val="CellColumn"/>
            </w:pPr>
            <w:r>
              <w:rPr>
                <w:rFonts w:cs="Times New Roman"/>
              </w:rPr>
              <w:t>100</w:t>
            </w:r>
          </w:p>
        </w:tc>
        <w:tc>
          <w:tcPr>
            <w:tcW w:w="918" w:type="dxa"/>
          </w:tcPr>
          <w:p w14:paraId="6B6663F1" w14:textId="77777777" w:rsidR="000A2CAE" w:rsidRDefault="000A2CAE">
            <w:pPr>
              <w:jc w:val="left"/>
            </w:pPr>
          </w:p>
        </w:tc>
      </w:tr>
    </w:tbl>
    <w:p w14:paraId="0B689D48" w14:textId="77777777" w:rsidR="000A2CAE" w:rsidRDefault="000A2CAE">
      <w:pPr>
        <w:jc w:val="left"/>
      </w:pPr>
    </w:p>
    <w:p w14:paraId="06DC31B0" w14:textId="77777777" w:rsidR="007308F5" w:rsidRDefault="007308F5">
      <w:pPr>
        <w:jc w:val="left"/>
      </w:pPr>
    </w:p>
    <w:p w14:paraId="478EEFE9" w14:textId="77777777" w:rsidR="007308F5" w:rsidRDefault="007308F5">
      <w:pPr>
        <w:jc w:val="left"/>
      </w:pPr>
    </w:p>
    <w:p w14:paraId="47668475" w14:textId="77777777" w:rsidR="000A2CAE" w:rsidRDefault="00B95D65">
      <w:pPr>
        <w:pStyle w:val="Heading4"/>
      </w:pPr>
      <w:r>
        <w:lastRenderedPageBreak/>
        <w:t>K930006 NPOO - C1.4. R3-I4 OPREMANJE LUKA I PRISTANIŠTA INFRASTRUKTUROM ZA ZBRINJAVANJE OTPADA - LU VUKOVAR</w:t>
      </w:r>
    </w:p>
    <w:p w14:paraId="42F46A46" w14:textId="77777777" w:rsidR="000A2CAE" w:rsidRDefault="00B95D65">
      <w:pPr>
        <w:pStyle w:val="Heading8"/>
        <w:jc w:val="left"/>
      </w:pPr>
      <w:r>
        <w:t>Zakonske i druge pravne osnove</w:t>
      </w:r>
    </w:p>
    <w:p w14:paraId="359DDD3E" w14:textId="77777777" w:rsidR="000A2CAE" w:rsidRDefault="00B95D65" w:rsidP="007308F5">
      <w:pPr>
        <w:pStyle w:val="Normal5"/>
        <w:ind w:left="0"/>
      </w:pPr>
      <w:r>
        <w:t xml:space="preserve">Zakonske i druge pravne osnove </w:t>
      </w:r>
    </w:p>
    <w:p w14:paraId="043D56E3" w14:textId="1BCAC45D" w:rsidR="000A2CAE" w:rsidRDefault="00B95D65" w:rsidP="007308F5">
      <w:pPr>
        <w:pStyle w:val="Normal5"/>
        <w:numPr>
          <w:ilvl w:val="0"/>
          <w:numId w:val="1"/>
        </w:numPr>
      </w:pPr>
      <w:r>
        <w:t>Uredba  (EU) 2021/241 Europskog Parlamenta i Vijeća od 12. veljače 2021. o uspostavi Mehanizma za oporavak i otpornost</w:t>
      </w:r>
    </w:p>
    <w:tbl>
      <w:tblPr>
        <w:tblStyle w:val="StilTablice"/>
        <w:tblW w:w="10206" w:type="dxa"/>
        <w:jc w:val="center"/>
        <w:tblLook w:val="04A0" w:firstRow="1" w:lastRow="0" w:firstColumn="1" w:lastColumn="0" w:noHBand="0" w:noVBand="1"/>
      </w:tblPr>
      <w:tblGrid>
        <w:gridCol w:w="2093"/>
        <w:gridCol w:w="1453"/>
        <w:gridCol w:w="1434"/>
        <w:gridCol w:w="1434"/>
        <w:gridCol w:w="1434"/>
        <w:gridCol w:w="1388"/>
        <w:gridCol w:w="970"/>
      </w:tblGrid>
      <w:tr w:rsidR="000A2CAE" w14:paraId="286AC411" w14:textId="77777777">
        <w:trPr>
          <w:jc w:val="center"/>
        </w:trPr>
        <w:tc>
          <w:tcPr>
            <w:tcW w:w="1530" w:type="dxa"/>
            <w:shd w:val="clear" w:color="auto" w:fill="B5C0D8"/>
          </w:tcPr>
          <w:p w14:paraId="403B0141" w14:textId="77777777" w:rsidR="000A2CAE" w:rsidRDefault="00B95D65">
            <w:pPr>
              <w:pStyle w:val="CellHeader"/>
            </w:pPr>
            <w:r>
              <w:rPr>
                <w:rFonts w:cs="Times New Roman"/>
              </w:rPr>
              <w:t>Naziv aktivnosti</w:t>
            </w:r>
          </w:p>
        </w:tc>
        <w:tc>
          <w:tcPr>
            <w:tcW w:w="1632" w:type="dxa"/>
            <w:shd w:val="clear" w:color="auto" w:fill="B5C0D8"/>
          </w:tcPr>
          <w:p w14:paraId="32ABFCB2" w14:textId="77777777" w:rsidR="000A2CAE" w:rsidRDefault="00B95D65">
            <w:pPr>
              <w:pStyle w:val="CellHeader"/>
            </w:pPr>
            <w:r>
              <w:rPr>
                <w:rFonts w:cs="Times New Roman"/>
              </w:rPr>
              <w:t>Izvršenje 2023. (eur)</w:t>
            </w:r>
          </w:p>
        </w:tc>
        <w:tc>
          <w:tcPr>
            <w:tcW w:w="1632" w:type="dxa"/>
            <w:shd w:val="clear" w:color="auto" w:fill="B5C0D8"/>
          </w:tcPr>
          <w:p w14:paraId="0B0A0997" w14:textId="77777777" w:rsidR="000A2CAE" w:rsidRDefault="00B95D65">
            <w:pPr>
              <w:pStyle w:val="CellHeader"/>
            </w:pPr>
            <w:r>
              <w:rPr>
                <w:rFonts w:cs="Times New Roman"/>
              </w:rPr>
              <w:t>Plan 2024. (eur)</w:t>
            </w:r>
          </w:p>
        </w:tc>
        <w:tc>
          <w:tcPr>
            <w:tcW w:w="1632" w:type="dxa"/>
            <w:shd w:val="clear" w:color="auto" w:fill="B5C0D8"/>
          </w:tcPr>
          <w:p w14:paraId="1B1E9FED" w14:textId="77777777" w:rsidR="000A2CAE" w:rsidRDefault="00B95D65">
            <w:pPr>
              <w:pStyle w:val="CellHeader"/>
            </w:pPr>
            <w:r>
              <w:rPr>
                <w:rFonts w:cs="Times New Roman"/>
              </w:rPr>
              <w:t>Plan 2025. (eur)</w:t>
            </w:r>
          </w:p>
        </w:tc>
        <w:tc>
          <w:tcPr>
            <w:tcW w:w="1632" w:type="dxa"/>
            <w:shd w:val="clear" w:color="auto" w:fill="B5C0D8"/>
          </w:tcPr>
          <w:p w14:paraId="00EA182D" w14:textId="77777777" w:rsidR="000A2CAE" w:rsidRDefault="00B95D65">
            <w:pPr>
              <w:pStyle w:val="CellHeader"/>
            </w:pPr>
            <w:r>
              <w:rPr>
                <w:rFonts w:cs="Times New Roman"/>
              </w:rPr>
              <w:t>Plan 2026. (eur)</w:t>
            </w:r>
          </w:p>
        </w:tc>
        <w:tc>
          <w:tcPr>
            <w:tcW w:w="1632" w:type="dxa"/>
            <w:shd w:val="clear" w:color="auto" w:fill="B5C0D8"/>
          </w:tcPr>
          <w:p w14:paraId="2FAE17FE" w14:textId="77777777" w:rsidR="000A2CAE" w:rsidRDefault="00B95D65">
            <w:pPr>
              <w:pStyle w:val="CellHeader"/>
            </w:pPr>
            <w:r>
              <w:rPr>
                <w:rFonts w:cs="Times New Roman"/>
              </w:rPr>
              <w:t>Plan 2027. (eur)</w:t>
            </w:r>
          </w:p>
        </w:tc>
        <w:tc>
          <w:tcPr>
            <w:tcW w:w="510" w:type="dxa"/>
            <w:shd w:val="clear" w:color="auto" w:fill="B5C0D8"/>
          </w:tcPr>
          <w:p w14:paraId="44DB341B" w14:textId="77777777" w:rsidR="000A2CAE" w:rsidRDefault="00B95D65">
            <w:pPr>
              <w:pStyle w:val="CellHeader"/>
            </w:pPr>
            <w:r>
              <w:rPr>
                <w:rFonts w:cs="Times New Roman"/>
              </w:rPr>
              <w:t>Indeks 2025/2024</w:t>
            </w:r>
          </w:p>
        </w:tc>
      </w:tr>
      <w:tr w:rsidR="000A2CAE" w14:paraId="1E1A14DA" w14:textId="77777777">
        <w:trPr>
          <w:jc w:val="center"/>
        </w:trPr>
        <w:tc>
          <w:tcPr>
            <w:tcW w:w="1530" w:type="dxa"/>
          </w:tcPr>
          <w:p w14:paraId="22F090A7" w14:textId="77777777" w:rsidR="000A2CAE" w:rsidRDefault="00B95D65">
            <w:pPr>
              <w:pStyle w:val="CellColumn"/>
            </w:pPr>
            <w:r>
              <w:rPr>
                <w:rFonts w:cs="Times New Roman"/>
              </w:rPr>
              <w:t>K930006-NPOO - C1.4. R3-I4 OPREMANJE LUKA I PRISTANIŠTA INFRASTRUKTUROM ZA ZBRINJAVANJE OTPADA - LU VUKOVAR</w:t>
            </w:r>
          </w:p>
        </w:tc>
        <w:tc>
          <w:tcPr>
            <w:tcW w:w="1632" w:type="dxa"/>
          </w:tcPr>
          <w:p w14:paraId="01EA0D4B" w14:textId="77777777" w:rsidR="000A2CAE" w:rsidRDefault="00B95D65">
            <w:pPr>
              <w:pStyle w:val="CellColumn"/>
            </w:pPr>
            <w:r>
              <w:rPr>
                <w:rFonts w:cs="Times New Roman"/>
              </w:rPr>
              <w:t>00</w:t>
            </w:r>
          </w:p>
        </w:tc>
        <w:tc>
          <w:tcPr>
            <w:tcW w:w="1632" w:type="dxa"/>
          </w:tcPr>
          <w:p w14:paraId="0B0CB9AF" w14:textId="77777777" w:rsidR="000A2CAE" w:rsidRDefault="00B95D65">
            <w:pPr>
              <w:pStyle w:val="CellColumn"/>
            </w:pPr>
            <w:r>
              <w:rPr>
                <w:rFonts w:cs="Times New Roman"/>
              </w:rPr>
              <w:t>142.250</w:t>
            </w:r>
          </w:p>
        </w:tc>
        <w:tc>
          <w:tcPr>
            <w:tcW w:w="1632" w:type="dxa"/>
          </w:tcPr>
          <w:p w14:paraId="023C3457" w14:textId="77777777" w:rsidR="000A2CAE" w:rsidRDefault="00B95D65">
            <w:pPr>
              <w:pStyle w:val="CellColumn"/>
            </w:pPr>
            <w:r>
              <w:rPr>
                <w:rFonts w:cs="Times New Roman"/>
              </w:rPr>
              <w:t>489.750</w:t>
            </w:r>
          </w:p>
        </w:tc>
        <w:tc>
          <w:tcPr>
            <w:tcW w:w="1632" w:type="dxa"/>
          </w:tcPr>
          <w:p w14:paraId="5AB095D5" w14:textId="77777777" w:rsidR="000A2CAE" w:rsidRDefault="00B95D65">
            <w:pPr>
              <w:pStyle w:val="CellColumn"/>
            </w:pPr>
            <w:r>
              <w:rPr>
                <w:rFonts w:cs="Times New Roman"/>
              </w:rPr>
              <w:t>245.375</w:t>
            </w:r>
          </w:p>
        </w:tc>
        <w:tc>
          <w:tcPr>
            <w:tcW w:w="1632" w:type="dxa"/>
          </w:tcPr>
          <w:p w14:paraId="4370EBB8" w14:textId="77777777" w:rsidR="000A2CAE" w:rsidRDefault="00B95D65">
            <w:pPr>
              <w:pStyle w:val="CellColumn"/>
            </w:pPr>
            <w:r>
              <w:rPr>
                <w:rFonts w:cs="Times New Roman"/>
              </w:rPr>
              <w:t>00</w:t>
            </w:r>
          </w:p>
        </w:tc>
        <w:tc>
          <w:tcPr>
            <w:tcW w:w="510" w:type="dxa"/>
          </w:tcPr>
          <w:p w14:paraId="5E0FC58A" w14:textId="77777777" w:rsidR="000A2CAE" w:rsidRDefault="00B95D65">
            <w:pPr>
              <w:pStyle w:val="CellColumn"/>
            </w:pPr>
            <w:r>
              <w:rPr>
                <w:rFonts w:cs="Times New Roman"/>
              </w:rPr>
              <w:t>344,3</w:t>
            </w:r>
          </w:p>
        </w:tc>
      </w:tr>
    </w:tbl>
    <w:p w14:paraId="699EC13D" w14:textId="77777777" w:rsidR="000A2CAE" w:rsidRDefault="000A2CAE">
      <w:pPr>
        <w:jc w:val="left"/>
      </w:pPr>
    </w:p>
    <w:p w14:paraId="5C08054F" w14:textId="3C07E871" w:rsidR="000A2CAE" w:rsidRDefault="00B95D65">
      <w:r>
        <w:t xml:space="preserve">Projektom "Opremanje luka i pristaništa infrastrukturom za zbrinjavanje otpada", izgradit će se terminal za prikupljanje otpada s plovila i objekti za gospodarenje otpadom u luci Vukovar. Strategija prometnog razvoja predviđa mjeru izgradnje terminala za opasne tvari i objekata za gospodarenje otpadom, u skladu s mjerama zaštite okoliša i Strategije za zaštitu voda. </w:t>
      </w:r>
    </w:p>
    <w:p w14:paraId="3AC09BB0" w14:textId="77777777" w:rsidR="000A2CAE" w:rsidRDefault="00B95D65">
      <w:r>
        <w:t>Tijekom 2025. godine planira se izrada studijsko-projekte dokumentacije u iznosu od 142.250 eura, koja uključuje koncepcijsko rješenje, idejni projekt, elaborat za provedbu postupaka utjecaja na ekološku mrežu, prometno tehnološki elaborat, glavni projekt i ishođenje građevinske dozvole te izvedbeni projekt. Po izradi potrebne dokumentacije planirana je gradnja. Prva aktivnost gradnje uključuje uređenje obale i izgradnju obaloutvrde u neposrednom okruženju, izgradnju pristupne ceste i pratećih infrastrukturnih sadržaja. Druga uključuje izgradnju natkrivenog prostora veličine 50 m2 za kontejnere za selektirani otpad, a ovom stavkom predviđena je i nabava spremnika za komunalni otpad, staklo, papir, metal, zauljeni otpad, boje i otpala, baterije. Treća aktivnost je izgradnja okna na obali s instaliranom crpkom kapaciteta 5 m3/h za zauljene vode s pripadajućim podzemnim separatorom i ispustom u recipijent, a ovom stavkom je obuhvaćena i nabava svih potrebnih fleksibilnih crijeva. Četvrta aktivnost uključuje uređenje pristupnih prometnih površina i lokacija na kojima su smještena vozila koja će prihvaćati sanitarno-fekalne vode iz podzemnog spremnika i vršiti održavanje separatora koja moraju biti vodonepropusna i s dodatnim osiguranjem od prolijevanja sadržaja prilikom crpljenja – ukupna površina predviđena ja u veličini cca 300 m2. Za navedene aktivnosti u 2025. godini planiran je trošak od 489.750 eura, a u 2026. godini 245.375 eura.</w:t>
      </w:r>
    </w:p>
    <w:p w14:paraId="0A218FAC" w14:textId="77777777" w:rsidR="000A2CAE" w:rsidRDefault="00B95D65">
      <w:pPr>
        <w:pStyle w:val="Heading8"/>
        <w:jc w:val="left"/>
      </w:pPr>
      <w:r>
        <w:t>Pokazatelji rezultata</w:t>
      </w:r>
    </w:p>
    <w:tbl>
      <w:tblPr>
        <w:tblStyle w:val="StilTablice"/>
        <w:tblW w:w="10206" w:type="dxa"/>
        <w:jc w:val="center"/>
        <w:tblLook w:val="04A0" w:firstRow="1" w:lastRow="0" w:firstColumn="1" w:lastColumn="0" w:noHBand="0" w:noVBand="1"/>
      </w:tblPr>
      <w:tblGrid>
        <w:gridCol w:w="1913"/>
        <w:gridCol w:w="1948"/>
        <w:gridCol w:w="1785"/>
        <w:gridCol w:w="917"/>
        <w:gridCol w:w="892"/>
        <w:gridCol w:w="917"/>
        <w:gridCol w:w="917"/>
        <w:gridCol w:w="917"/>
      </w:tblGrid>
      <w:tr w:rsidR="000A2CAE" w14:paraId="381F98F4" w14:textId="77777777">
        <w:trPr>
          <w:jc w:val="center"/>
        </w:trPr>
        <w:tc>
          <w:tcPr>
            <w:tcW w:w="2245" w:type="dxa"/>
            <w:shd w:val="clear" w:color="auto" w:fill="B5C0D8"/>
          </w:tcPr>
          <w:p w14:paraId="44918011" w14:textId="77777777" w:rsidR="000A2CAE" w:rsidRDefault="00B95D65">
            <w:r>
              <w:t>Pokazatelj rezultata</w:t>
            </w:r>
          </w:p>
        </w:tc>
        <w:tc>
          <w:tcPr>
            <w:tcW w:w="2245" w:type="dxa"/>
            <w:shd w:val="clear" w:color="auto" w:fill="B5C0D8"/>
          </w:tcPr>
          <w:p w14:paraId="1CEAEA10" w14:textId="77777777" w:rsidR="000A2CAE" w:rsidRDefault="00B95D65">
            <w:pPr>
              <w:pStyle w:val="CellHeader"/>
            </w:pPr>
            <w:r>
              <w:rPr>
                <w:rFonts w:cs="Times New Roman"/>
              </w:rPr>
              <w:t>Definicija</w:t>
            </w:r>
          </w:p>
        </w:tc>
        <w:tc>
          <w:tcPr>
            <w:tcW w:w="2245" w:type="dxa"/>
            <w:shd w:val="clear" w:color="auto" w:fill="B5C0D8"/>
          </w:tcPr>
          <w:p w14:paraId="7B223223" w14:textId="77777777" w:rsidR="000A2CAE" w:rsidRDefault="00B95D65">
            <w:pPr>
              <w:pStyle w:val="CellHeader"/>
            </w:pPr>
            <w:r>
              <w:rPr>
                <w:rFonts w:cs="Times New Roman"/>
              </w:rPr>
              <w:t>Jedinica</w:t>
            </w:r>
          </w:p>
        </w:tc>
        <w:tc>
          <w:tcPr>
            <w:tcW w:w="918" w:type="dxa"/>
            <w:shd w:val="clear" w:color="auto" w:fill="B5C0D8"/>
          </w:tcPr>
          <w:p w14:paraId="69EA701C" w14:textId="77777777" w:rsidR="000A2CAE" w:rsidRDefault="00B95D65">
            <w:pPr>
              <w:pStyle w:val="CellHeader"/>
            </w:pPr>
            <w:r>
              <w:rPr>
                <w:rFonts w:cs="Times New Roman"/>
              </w:rPr>
              <w:t>Polazna vrijednost</w:t>
            </w:r>
          </w:p>
        </w:tc>
        <w:tc>
          <w:tcPr>
            <w:tcW w:w="918" w:type="dxa"/>
            <w:shd w:val="clear" w:color="auto" w:fill="B5C0D8"/>
          </w:tcPr>
          <w:p w14:paraId="61DBC4B3" w14:textId="77777777" w:rsidR="000A2CAE" w:rsidRDefault="00B95D65">
            <w:pPr>
              <w:pStyle w:val="CellHeader"/>
            </w:pPr>
            <w:r>
              <w:rPr>
                <w:rFonts w:cs="Times New Roman"/>
              </w:rPr>
              <w:t>Izvor podataka</w:t>
            </w:r>
          </w:p>
        </w:tc>
        <w:tc>
          <w:tcPr>
            <w:tcW w:w="918" w:type="dxa"/>
            <w:shd w:val="clear" w:color="auto" w:fill="B5C0D8"/>
          </w:tcPr>
          <w:p w14:paraId="471601C3" w14:textId="77777777" w:rsidR="000A2CAE" w:rsidRDefault="00B95D65">
            <w:pPr>
              <w:pStyle w:val="CellHeader"/>
            </w:pPr>
            <w:r>
              <w:rPr>
                <w:rFonts w:cs="Times New Roman"/>
              </w:rPr>
              <w:t>Ciljana vrijednost (2025.)</w:t>
            </w:r>
          </w:p>
        </w:tc>
        <w:tc>
          <w:tcPr>
            <w:tcW w:w="918" w:type="dxa"/>
            <w:shd w:val="clear" w:color="auto" w:fill="B5C0D8"/>
          </w:tcPr>
          <w:p w14:paraId="324E5D8C" w14:textId="77777777" w:rsidR="000A2CAE" w:rsidRDefault="00B95D65">
            <w:pPr>
              <w:pStyle w:val="CellHeader"/>
            </w:pPr>
            <w:r>
              <w:rPr>
                <w:rFonts w:cs="Times New Roman"/>
              </w:rPr>
              <w:t>Ciljana vrijednost (2026.)</w:t>
            </w:r>
          </w:p>
        </w:tc>
        <w:tc>
          <w:tcPr>
            <w:tcW w:w="918" w:type="dxa"/>
            <w:shd w:val="clear" w:color="auto" w:fill="B5C0D8"/>
          </w:tcPr>
          <w:p w14:paraId="0367972F" w14:textId="77777777" w:rsidR="000A2CAE" w:rsidRDefault="00B95D65">
            <w:pPr>
              <w:pStyle w:val="CellHeader"/>
            </w:pPr>
            <w:r>
              <w:rPr>
                <w:rFonts w:cs="Times New Roman"/>
              </w:rPr>
              <w:t>Ciljana vrijednost (2027.)</w:t>
            </w:r>
          </w:p>
        </w:tc>
      </w:tr>
      <w:tr w:rsidR="000A2CAE" w14:paraId="4FEF0C9C" w14:textId="77777777">
        <w:trPr>
          <w:jc w:val="center"/>
        </w:trPr>
        <w:tc>
          <w:tcPr>
            <w:tcW w:w="2245" w:type="dxa"/>
          </w:tcPr>
          <w:p w14:paraId="2F3B88EE" w14:textId="77777777" w:rsidR="000A2CAE" w:rsidRDefault="00B95D65">
            <w:pPr>
              <w:pStyle w:val="CellColumn"/>
            </w:pPr>
            <w:r>
              <w:rPr>
                <w:rFonts w:cs="Times New Roman"/>
              </w:rPr>
              <w:t>Izgradnja terminala za prikupljanje otpada s plovila i objekata za gospodarenje otpadom u luci Vukovar</w:t>
            </w:r>
          </w:p>
        </w:tc>
        <w:tc>
          <w:tcPr>
            <w:tcW w:w="2245" w:type="dxa"/>
          </w:tcPr>
          <w:p w14:paraId="1A00E675" w14:textId="77777777" w:rsidR="000A2CAE" w:rsidRDefault="00B95D65">
            <w:pPr>
              <w:pStyle w:val="CellColumn"/>
            </w:pPr>
            <w:r>
              <w:rPr>
                <w:rFonts w:cs="Times New Roman"/>
              </w:rPr>
              <w:t>Rezultat uključuje pripremu projektne dokumentacije te izgradnju terminala predviđenog strategijom prometnog razvoja</w:t>
            </w:r>
          </w:p>
        </w:tc>
        <w:tc>
          <w:tcPr>
            <w:tcW w:w="918" w:type="dxa"/>
          </w:tcPr>
          <w:p w14:paraId="2F95E1BC" w14:textId="77777777" w:rsidR="000A2CAE" w:rsidRDefault="00B95D65">
            <w:pPr>
              <w:pStyle w:val="CellColumn"/>
            </w:pPr>
            <w:r>
              <w:rPr>
                <w:rFonts w:cs="Times New Roman"/>
              </w:rPr>
              <w:t>%</w:t>
            </w:r>
          </w:p>
        </w:tc>
        <w:tc>
          <w:tcPr>
            <w:tcW w:w="918" w:type="dxa"/>
          </w:tcPr>
          <w:p w14:paraId="2401AADC" w14:textId="77777777" w:rsidR="000A2CAE" w:rsidRDefault="00B95D65">
            <w:pPr>
              <w:pStyle w:val="CellColumn"/>
            </w:pPr>
            <w:r>
              <w:rPr>
                <w:rFonts w:cs="Times New Roman"/>
              </w:rPr>
              <w:t>0</w:t>
            </w:r>
          </w:p>
        </w:tc>
        <w:tc>
          <w:tcPr>
            <w:tcW w:w="918" w:type="dxa"/>
          </w:tcPr>
          <w:p w14:paraId="6F049149" w14:textId="77777777" w:rsidR="000A2CAE" w:rsidRDefault="00B95D65">
            <w:pPr>
              <w:pStyle w:val="CellColumn"/>
            </w:pPr>
            <w:r>
              <w:rPr>
                <w:rFonts w:cs="Times New Roman"/>
              </w:rPr>
              <w:t>Lučka uprava Vukovar</w:t>
            </w:r>
          </w:p>
        </w:tc>
        <w:tc>
          <w:tcPr>
            <w:tcW w:w="918" w:type="dxa"/>
          </w:tcPr>
          <w:p w14:paraId="1D4695C8" w14:textId="77777777" w:rsidR="000A2CAE" w:rsidRDefault="00B95D65">
            <w:pPr>
              <w:pStyle w:val="CellColumn"/>
            </w:pPr>
            <w:r>
              <w:rPr>
                <w:rFonts w:cs="Times New Roman"/>
              </w:rPr>
              <w:t>66</w:t>
            </w:r>
          </w:p>
        </w:tc>
        <w:tc>
          <w:tcPr>
            <w:tcW w:w="918" w:type="dxa"/>
          </w:tcPr>
          <w:p w14:paraId="37ECE1AA" w14:textId="77777777" w:rsidR="000A2CAE" w:rsidRDefault="00B95D65">
            <w:pPr>
              <w:pStyle w:val="CellColumn"/>
            </w:pPr>
            <w:r>
              <w:rPr>
                <w:rFonts w:cs="Times New Roman"/>
              </w:rPr>
              <w:t>100</w:t>
            </w:r>
          </w:p>
        </w:tc>
        <w:tc>
          <w:tcPr>
            <w:tcW w:w="918" w:type="dxa"/>
          </w:tcPr>
          <w:p w14:paraId="1599FF97" w14:textId="77777777" w:rsidR="000A2CAE" w:rsidRDefault="000A2CAE">
            <w:pPr>
              <w:jc w:val="left"/>
            </w:pPr>
          </w:p>
        </w:tc>
      </w:tr>
    </w:tbl>
    <w:p w14:paraId="20C3A4D3" w14:textId="77777777" w:rsidR="000A2CAE" w:rsidRDefault="000A2CAE">
      <w:pPr>
        <w:jc w:val="left"/>
      </w:pPr>
    </w:p>
    <w:p w14:paraId="72DFD8F8" w14:textId="77777777" w:rsidR="007308F5" w:rsidRDefault="007308F5">
      <w:pPr>
        <w:jc w:val="left"/>
      </w:pPr>
    </w:p>
    <w:p w14:paraId="096FFEAD" w14:textId="77777777" w:rsidR="007308F5" w:rsidRDefault="007308F5">
      <w:pPr>
        <w:jc w:val="left"/>
      </w:pPr>
    </w:p>
    <w:p w14:paraId="0C96F890" w14:textId="77777777" w:rsidR="000A2CAE" w:rsidRDefault="00B95D65">
      <w:pPr>
        <w:pStyle w:val="Heading5"/>
      </w:pPr>
      <w:r>
        <w:lastRenderedPageBreak/>
        <w:t>3115 RAZVOJ UNUTARNJE PLOVIDBE</w:t>
      </w:r>
    </w:p>
    <w:tbl>
      <w:tblPr>
        <w:tblStyle w:val="StilTablice"/>
        <w:tblW w:w="10206" w:type="dxa"/>
        <w:jc w:val="center"/>
        <w:tblLook w:val="04A0" w:firstRow="1" w:lastRow="0" w:firstColumn="1" w:lastColumn="0" w:noHBand="0" w:noVBand="1"/>
      </w:tblPr>
      <w:tblGrid>
        <w:gridCol w:w="1503"/>
        <w:gridCol w:w="1541"/>
        <w:gridCol w:w="1548"/>
        <w:gridCol w:w="1548"/>
        <w:gridCol w:w="1548"/>
        <w:gridCol w:w="1548"/>
        <w:gridCol w:w="970"/>
      </w:tblGrid>
      <w:tr w:rsidR="000A2CAE" w14:paraId="221CD82F" w14:textId="77777777" w:rsidTr="001E4BC1">
        <w:trPr>
          <w:jc w:val="center"/>
        </w:trPr>
        <w:tc>
          <w:tcPr>
            <w:tcW w:w="1503" w:type="dxa"/>
            <w:shd w:val="clear" w:color="auto" w:fill="B5C0D8"/>
          </w:tcPr>
          <w:p w14:paraId="16CA71D9" w14:textId="77777777" w:rsidR="000A2CAE" w:rsidRDefault="000A2CAE">
            <w:pPr>
              <w:pStyle w:val="CellHeader"/>
            </w:pPr>
          </w:p>
        </w:tc>
        <w:tc>
          <w:tcPr>
            <w:tcW w:w="1541" w:type="dxa"/>
            <w:shd w:val="clear" w:color="auto" w:fill="B5C0D8"/>
          </w:tcPr>
          <w:p w14:paraId="6F7E5AE2" w14:textId="77777777" w:rsidR="000A2CAE" w:rsidRDefault="00B95D65">
            <w:pPr>
              <w:pStyle w:val="CellHeader"/>
            </w:pPr>
            <w:r>
              <w:rPr>
                <w:rFonts w:cs="Times New Roman"/>
              </w:rPr>
              <w:t>Izvršenje 2023. (eur)</w:t>
            </w:r>
          </w:p>
        </w:tc>
        <w:tc>
          <w:tcPr>
            <w:tcW w:w="1548" w:type="dxa"/>
            <w:shd w:val="clear" w:color="auto" w:fill="B5C0D8"/>
          </w:tcPr>
          <w:p w14:paraId="5D719420" w14:textId="77777777" w:rsidR="000A2CAE" w:rsidRDefault="00B95D65">
            <w:pPr>
              <w:pStyle w:val="CellHeader"/>
            </w:pPr>
            <w:r>
              <w:rPr>
                <w:rFonts w:cs="Times New Roman"/>
              </w:rPr>
              <w:t>Plan 2024. (eur)</w:t>
            </w:r>
          </w:p>
        </w:tc>
        <w:tc>
          <w:tcPr>
            <w:tcW w:w="1548" w:type="dxa"/>
            <w:shd w:val="clear" w:color="auto" w:fill="B5C0D8"/>
          </w:tcPr>
          <w:p w14:paraId="694C6B8F" w14:textId="77777777" w:rsidR="000A2CAE" w:rsidRDefault="00B95D65">
            <w:pPr>
              <w:pStyle w:val="CellHeader"/>
            </w:pPr>
            <w:r>
              <w:rPr>
                <w:rFonts w:cs="Times New Roman"/>
              </w:rPr>
              <w:t>Plan 2025. (eur)</w:t>
            </w:r>
          </w:p>
        </w:tc>
        <w:tc>
          <w:tcPr>
            <w:tcW w:w="1548" w:type="dxa"/>
            <w:shd w:val="clear" w:color="auto" w:fill="B5C0D8"/>
          </w:tcPr>
          <w:p w14:paraId="33C74848" w14:textId="77777777" w:rsidR="000A2CAE" w:rsidRDefault="00B95D65">
            <w:pPr>
              <w:pStyle w:val="CellHeader"/>
            </w:pPr>
            <w:r>
              <w:rPr>
                <w:rFonts w:cs="Times New Roman"/>
              </w:rPr>
              <w:t>Plan 2026. (eur)</w:t>
            </w:r>
          </w:p>
        </w:tc>
        <w:tc>
          <w:tcPr>
            <w:tcW w:w="1548" w:type="dxa"/>
            <w:shd w:val="clear" w:color="auto" w:fill="B5C0D8"/>
          </w:tcPr>
          <w:p w14:paraId="7F2CCB3E" w14:textId="77777777" w:rsidR="000A2CAE" w:rsidRDefault="00B95D65">
            <w:pPr>
              <w:pStyle w:val="CellHeader"/>
            </w:pPr>
            <w:r>
              <w:rPr>
                <w:rFonts w:cs="Times New Roman"/>
              </w:rPr>
              <w:t>Plan 2027. (eur)</w:t>
            </w:r>
          </w:p>
        </w:tc>
        <w:tc>
          <w:tcPr>
            <w:tcW w:w="970" w:type="dxa"/>
            <w:shd w:val="clear" w:color="auto" w:fill="B5C0D8"/>
          </w:tcPr>
          <w:p w14:paraId="747E0899" w14:textId="77777777" w:rsidR="000A2CAE" w:rsidRDefault="00B95D65">
            <w:pPr>
              <w:pStyle w:val="CellHeader"/>
            </w:pPr>
            <w:r>
              <w:rPr>
                <w:rFonts w:cs="Times New Roman"/>
              </w:rPr>
              <w:t>Indeks 2025/2024</w:t>
            </w:r>
          </w:p>
        </w:tc>
      </w:tr>
      <w:tr w:rsidR="001E4BC1" w14:paraId="6BEBA14B" w14:textId="77777777" w:rsidTr="001E4BC1">
        <w:trPr>
          <w:jc w:val="center"/>
        </w:trPr>
        <w:tc>
          <w:tcPr>
            <w:tcW w:w="1503" w:type="dxa"/>
          </w:tcPr>
          <w:p w14:paraId="479E4DA1" w14:textId="77777777" w:rsidR="001E4BC1" w:rsidRDefault="001E4BC1" w:rsidP="001E4BC1">
            <w:pPr>
              <w:pStyle w:val="CellColumn"/>
            </w:pPr>
            <w:r>
              <w:rPr>
                <w:rFonts w:cs="Times New Roman"/>
              </w:rPr>
              <w:t>3115-RAZVOJ UNUTARNJE PLOVIDBE</w:t>
            </w:r>
          </w:p>
        </w:tc>
        <w:tc>
          <w:tcPr>
            <w:tcW w:w="1541" w:type="dxa"/>
          </w:tcPr>
          <w:p w14:paraId="1F14E911" w14:textId="4294B1AD" w:rsidR="001E4BC1" w:rsidRDefault="001E4BC1" w:rsidP="001E4BC1">
            <w:pPr>
              <w:pStyle w:val="CellColumn"/>
            </w:pPr>
            <w:r>
              <w:rPr>
                <w:rFonts w:cs="Times New Roman"/>
              </w:rPr>
              <w:t>3.315.005</w:t>
            </w:r>
          </w:p>
        </w:tc>
        <w:tc>
          <w:tcPr>
            <w:tcW w:w="1548" w:type="dxa"/>
          </w:tcPr>
          <w:p w14:paraId="003DE0E9" w14:textId="77777777" w:rsidR="001E4BC1" w:rsidRDefault="001E4BC1" w:rsidP="001E4BC1">
            <w:pPr>
              <w:pStyle w:val="CellColumn"/>
            </w:pPr>
            <w:r>
              <w:rPr>
                <w:rFonts w:cs="Times New Roman"/>
              </w:rPr>
              <w:t>5.607.578</w:t>
            </w:r>
          </w:p>
        </w:tc>
        <w:tc>
          <w:tcPr>
            <w:tcW w:w="1548" w:type="dxa"/>
          </w:tcPr>
          <w:p w14:paraId="60E9F2CE" w14:textId="77777777" w:rsidR="001E4BC1" w:rsidRDefault="001E4BC1" w:rsidP="001E4BC1">
            <w:pPr>
              <w:pStyle w:val="CellColumn"/>
            </w:pPr>
            <w:r>
              <w:rPr>
                <w:rFonts w:cs="Times New Roman"/>
              </w:rPr>
              <w:t>7.048.803</w:t>
            </w:r>
          </w:p>
        </w:tc>
        <w:tc>
          <w:tcPr>
            <w:tcW w:w="1548" w:type="dxa"/>
          </w:tcPr>
          <w:p w14:paraId="0A14B078" w14:textId="77777777" w:rsidR="001E4BC1" w:rsidRDefault="001E4BC1" w:rsidP="001E4BC1">
            <w:pPr>
              <w:pStyle w:val="CellColumn"/>
            </w:pPr>
            <w:r>
              <w:rPr>
                <w:rFonts w:cs="Times New Roman"/>
              </w:rPr>
              <w:t>6.570.653</w:t>
            </w:r>
          </w:p>
        </w:tc>
        <w:tc>
          <w:tcPr>
            <w:tcW w:w="1548" w:type="dxa"/>
          </w:tcPr>
          <w:p w14:paraId="56C28F1C" w14:textId="77777777" w:rsidR="001E4BC1" w:rsidRDefault="001E4BC1" w:rsidP="001E4BC1">
            <w:pPr>
              <w:pStyle w:val="CellColumn"/>
            </w:pPr>
            <w:r>
              <w:rPr>
                <w:rFonts w:cs="Times New Roman"/>
              </w:rPr>
              <w:t>6.290.670</w:t>
            </w:r>
          </w:p>
        </w:tc>
        <w:tc>
          <w:tcPr>
            <w:tcW w:w="970" w:type="dxa"/>
          </w:tcPr>
          <w:p w14:paraId="00F902C3" w14:textId="77777777" w:rsidR="001E4BC1" w:rsidRDefault="001E4BC1" w:rsidP="001E4BC1">
            <w:pPr>
              <w:pStyle w:val="CellColumn"/>
            </w:pPr>
            <w:r>
              <w:rPr>
                <w:rFonts w:cs="Times New Roman"/>
              </w:rPr>
              <w:t>125,7</w:t>
            </w:r>
          </w:p>
        </w:tc>
      </w:tr>
    </w:tbl>
    <w:p w14:paraId="4997ABC3" w14:textId="77777777" w:rsidR="000A2CAE" w:rsidRDefault="000A2CAE">
      <w:pPr>
        <w:jc w:val="left"/>
      </w:pPr>
    </w:p>
    <w:p w14:paraId="5AA54469" w14:textId="77777777" w:rsidR="000A2CAE" w:rsidRDefault="00B95D65">
      <w:pPr>
        <w:pStyle w:val="Heading7"/>
      </w:pPr>
      <w:r>
        <w:t>Cilj 1. Razvijen sustav unutarnje plovidbe</w:t>
      </w:r>
    </w:p>
    <w:p w14:paraId="113E518E" w14:textId="77777777" w:rsidR="000A2CAE" w:rsidRDefault="00B95D65">
      <w:pPr>
        <w:pStyle w:val="Heading8"/>
        <w:jc w:val="left"/>
      </w:pPr>
      <w:r>
        <w:t>Pokazatelji učinka</w:t>
      </w:r>
    </w:p>
    <w:tbl>
      <w:tblPr>
        <w:tblStyle w:val="StilTablice"/>
        <w:tblW w:w="10206" w:type="dxa"/>
        <w:jc w:val="center"/>
        <w:tblLook w:val="04A0" w:firstRow="1" w:lastRow="0" w:firstColumn="1" w:lastColumn="0" w:noHBand="0" w:noVBand="1"/>
      </w:tblPr>
      <w:tblGrid>
        <w:gridCol w:w="2292"/>
        <w:gridCol w:w="2292"/>
        <w:gridCol w:w="937"/>
        <w:gridCol w:w="937"/>
        <w:gridCol w:w="937"/>
        <w:gridCol w:w="937"/>
        <w:gridCol w:w="937"/>
        <w:gridCol w:w="937"/>
      </w:tblGrid>
      <w:tr w:rsidR="000A2CAE" w14:paraId="5108DB04" w14:textId="77777777">
        <w:trPr>
          <w:jc w:val="center"/>
        </w:trPr>
        <w:tc>
          <w:tcPr>
            <w:tcW w:w="2245" w:type="dxa"/>
            <w:shd w:val="clear" w:color="auto" w:fill="B5C0D8"/>
          </w:tcPr>
          <w:p w14:paraId="1ECB6D29" w14:textId="77777777" w:rsidR="000A2CAE" w:rsidRDefault="00B95D65">
            <w:r>
              <w:t>Pokazatelj učinka</w:t>
            </w:r>
          </w:p>
        </w:tc>
        <w:tc>
          <w:tcPr>
            <w:tcW w:w="2245" w:type="dxa"/>
            <w:shd w:val="clear" w:color="auto" w:fill="B5C0D8"/>
          </w:tcPr>
          <w:p w14:paraId="7D2776B0" w14:textId="77777777" w:rsidR="000A2CAE" w:rsidRDefault="00B95D65">
            <w:pPr>
              <w:pStyle w:val="CellHeader"/>
            </w:pPr>
            <w:r>
              <w:rPr>
                <w:rFonts w:cs="Times New Roman"/>
              </w:rPr>
              <w:t>Definicija</w:t>
            </w:r>
          </w:p>
        </w:tc>
        <w:tc>
          <w:tcPr>
            <w:tcW w:w="918" w:type="dxa"/>
            <w:shd w:val="clear" w:color="auto" w:fill="B5C0D8"/>
          </w:tcPr>
          <w:p w14:paraId="6E013200" w14:textId="77777777" w:rsidR="000A2CAE" w:rsidRDefault="00B95D65">
            <w:pPr>
              <w:pStyle w:val="CellHeader"/>
            </w:pPr>
            <w:r>
              <w:rPr>
                <w:rFonts w:cs="Times New Roman"/>
              </w:rPr>
              <w:t>Jedinica</w:t>
            </w:r>
          </w:p>
        </w:tc>
        <w:tc>
          <w:tcPr>
            <w:tcW w:w="918" w:type="dxa"/>
            <w:shd w:val="clear" w:color="auto" w:fill="B5C0D8"/>
          </w:tcPr>
          <w:p w14:paraId="3EE811C7" w14:textId="77777777" w:rsidR="000A2CAE" w:rsidRDefault="00B95D65">
            <w:pPr>
              <w:pStyle w:val="CellHeader"/>
            </w:pPr>
            <w:r>
              <w:rPr>
                <w:rFonts w:cs="Times New Roman"/>
              </w:rPr>
              <w:t>Polazna vrijednost</w:t>
            </w:r>
          </w:p>
        </w:tc>
        <w:tc>
          <w:tcPr>
            <w:tcW w:w="918" w:type="dxa"/>
            <w:shd w:val="clear" w:color="auto" w:fill="B5C0D8"/>
          </w:tcPr>
          <w:p w14:paraId="67FEC8CC" w14:textId="77777777" w:rsidR="000A2CAE" w:rsidRDefault="00B95D65">
            <w:pPr>
              <w:pStyle w:val="CellHeader"/>
            </w:pPr>
            <w:r>
              <w:rPr>
                <w:rFonts w:cs="Times New Roman"/>
              </w:rPr>
              <w:t>Izvor podataka</w:t>
            </w:r>
          </w:p>
        </w:tc>
        <w:tc>
          <w:tcPr>
            <w:tcW w:w="918" w:type="dxa"/>
            <w:shd w:val="clear" w:color="auto" w:fill="B5C0D8"/>
          </w:tcPr>
          <w:p w14:paraId="346A1B38" w14:textId="77777777" w:rsidR="000A2CAE" w:rsidRDefault="00B95D65">
            <w:pPr>
              <w:pStyle w:val="CellHeader"/>
            </w:pPr>
            <w:r>
              <w:rPr>
                <w:rFonts w:cs="Times New Roman"/>
              </w:rPr>
              <w:t>Ciljana vrijednost (2025.)</w:t>
            </w:r>
          </w:p>
        </w:tc>
        <w:tc>
          <w:tcPr>
            <w:tcW w:w="918" w:type="dxa"/>
            <w:shd w:val="clear" w:color="auto" w:fill="B5C0D8"/>
          </w:tcPr>
          <w:p w14:paraId="65A2F667" w14:textId="77777777" w:rsidR="000A2CAE" w:rsidRDefault="00B95D65">
            <w:pPr>
              <w:pStyle w:val="CellHeader"/>
            </w:pPr>
            <w:r>
              <w:rPr>
                <w:rFonts w:cs="Times New Roman"/>
              </w:rPr>
              <w:t>Ciljana vrijednost (2026.)</w:t>
            </w:r>
          </w:p>
        </w:tc>
        <w:tc>
          <w:tcPr>
            <w:tcW w:w="918" w:type="dxa"/>
            <w:shd w:val="clear" w:color="auto" w:fill="B5C0D8"/>
          </w:tcPr>
          <w:p w14:paraId="37D3BD10" w14:textId="77777777" w:rsidR="000A2CAE" w:rsidRDefault="00B95D65">
            <w:pPr>
              <w:pStyle w:val="CellHeader"/>
            </w:pPr>
            <w:r>
              <w:rPr>
                <w:rFonts w:cs="Times New Roman"/>
              </w:rPr>
              <w:t>Ciljana vrijednost (2027.)</w:t>
            </w:r>
          </w:p>
        </w:tc>
      </w:tr>
      <w:tr w:rsidR="000A2CAE" w14:paraId="35D749F6" w14:textId="77777777">
        <w:trPr>
          <w:jc w:val="center"/>
        </w:trPr>
        <w:tc>
          <w:tcPr>
            <w:tcW w:w="2245" w:type="dxa"/>
          </w:tcPr>
          <w:p w14:paraId="5BC6F7E0" w14:textId="77777777" w:rsidR="000A2CAE" w:rsidRDefault="00B95D65">
            <w:pPr>
              <w:pStyle w:val="CellColumn"/>
            </w:pPr>
            <w:r>
              <w:rPr>
                <w:rFonts w:cs="Times New Roman"/>
              </w:rPr>
              <w:t xml:space="preserve">Povećanje količine </w:t>
            </w:r>
          </w:p>
          <w:p w14:paraId="7B203AE4" w14:textId="77777777" w:rsidR="000A2CAE" w:rsidRDefault="00B95D65">
            <w:pPr>
              <w:pStyle w:val="CellColumn"/>
            </w:pPr>
            <w:r>
              <w:rPr>
                <w:rFonts w:cs="Times New Roman"/>
              </w:rPr>
              <w:t>prekrcajnog tereta u luci Vukovar</w:t>
            </w:r>
          </w:p>
        </w:tc>
        <w:tc>
          <w:tcPr>
            <w:tcW w:w="2245" w:type="dxa"/>
          </w:tcPr>
          <w:p w14:paraId="1E8039F6" w14:textId="77777777" w:rsidR="000A2CAE" w:rsidRDefault="00B95D65">
            <w:pPr>
              <w:pStyle w:val="CellColumn"/>
            </w:pPr>
            <w:r>
              <w:rPr>
                <w:rFonts w:cs="Times New Roman"/>
              </w:rPr>
              <w:t xml:space="preserve">Ukupna količina </w:t>
            </w:r>
          </w:p>
          <w:p w14:paraId="383C5308" w14:textId="77777777" w:rsidR="000A2CAE" w:rsidRDefault="00B95D65">
            <w:pPr>
              <w:pStyle w:val="CellColumn"/>
            </w:pPr>
            <w:r>
              <w:rPr>
                <w:rFonts w:cs="Times New Roman"/>
              </w:rPr>
              <w:t>prekrcajnog tereta u luci Vukovar</w:t>
            </w:r>
          </w:p>
        </w:tc>
        <w:tc>
          <w:tcPr>
            <w:tcW w:w="918" w:type="dxa"/>
          </w:tcPr>
          <w:p w14:paraId="7D4A2A60" w14:textId="77777777" w:rsidR="000A2CAE" w:rsidRDefault="00B95D65">
            <w:pPr>
              <w:pStyle w:val="CellColumn"/>
            </w:pPr>
            <w:r>
              <w:rPr>
                <w:rFonts w:cs="Times New Roman"/>
              </w:rPr>
              <w:t>tona</w:t>
            </w:r>
          </w:p>
        </w:tc>
        <w:tc>
          <w:tcPr>
            <w:tcW w:w="918" w:type="dxa"/>
          </w:tcPr>
          <w:p w14:paraId="2148A83A" w14:textId="77777777" w:rsidR="000A2CAE" w:rsidRDefault="00B95D65">
            <w:pPr>
              <w:pStyle w:val="CellColumn"/>
            </w:pPr>
            <w:r>
              <w:rPr>
                <w:rFonts w:cs="Times New Roman"/>
              </w:rPr>
              <w:t>140.000</w:t>
            </w:r>
          </w:p>
        </w:tc>
        <w:tc>
          <w:tcPr>
            <w:tcW w:w="918" w:type="dxa"/>
          </w:tcPr>
          <w:p w14:paraId="7B6A7C94" w14:textId="77777777" w:rsidR="000A2CAE" w:rsidRDefault="00B95D65">
            <w:pPr>
              <w:pStyle w:val="CellColumn"/>
            </w:pPr>
            <w:r>
              <w:rPr>
                <w:rFonts w:cs="Times New Roman"/>
              </w:rPr>
              <w:t>Lučka uprava Vukovar</w:t>
            </w:r>
          </w:p>
        </w:tc>
        <w:tc>
          <w:tcPr>
            <w:tcW w:w="918" w:type="dxa"/>
          </w:tcPr>
          <w:p w14:paraId="3F3A2CDB" w14:textId="77777777" w:rsidR="000A2CAE" w:rsidRDefault="00B95D65">
            <w:pPr>
              <w:pStyle w:val="CellColumn"/>
            </w:pPr>
            <w:r>
              <w:rPr>
                <w:rFonts w:cs="Times New Roman"/>
              </w:rPr>
              <w:t>180.000</w:t>
            </w:r>
          </w:p>
        </w:tc>
        <w:tc>
          <w:tcPr>
            <w:tcW w:w="918" w:type="dxa"/>
          </w:tcPr>
          <w:p w14:paraId="35D7A766" w14:textId="77777777" w:rsidR="000A2CAE" w:rsidRDefault="00B95D65">
            <w:pPr>
              <w:pStyle w:val="CellColumn"/>
            </w:pPr>
            <w:r>
              <w:rPr>
                <w:rFonts w:cs="Times New Roman"/>
              </w:rPr>
              <w:t>220.000</w:t>
            </w:r>
          </w:p>
        </w:tc>
        <w:tc>
          <w:tcPr>
            <w:tcW w:w="918" w:type="dxa"/>
          </w:tcPr>
          <w:p w14:paraId="2D3DC5BA" w14:textId="77777777" w:rsidR="000A2CAE" w:rsidRDefault="00B95D65">
            <w:pPr>
              <w:pStyle w:val="CellColumn"/>
            </w:pPr>
            <w:r>
              <w:rPr>
                <w:rFonts w:cs="Times New Roman"/>
              </w:rPr>
              <w:t>260.000</w:t>
            </w:r>
          </w:p>
        </w:tc>
      </w:tr>
      <w:tr w:rsidR="000A2CAE" w14:paraId="5788372B" w14:textId="77777777">
        <w:trPr>
          <w:jc w:val="center"/>
        </w:trPr>
        <w:tc>
          <w:tcPr>
            <w:tcW w:w="2245" w:type="dxa"/>
          </w:tcPr>
          <w:p w14:paraId="1F3D3098" w14:textId="77777777" w:rsidR="000A2CAE" w:rsidRDefault="00B95D65">
            <w:pPr>
              <w:pStyle w:val="CellColumn"/>
            </w:pPr>
            <w:r>
              <w:rPr>
                <w:rFonts w:cs="Times New Roman"/>
              </w:rPr>
              <w:t>Povećanje broja putnika u pristaništima  Lučke uprave Vukovar</w:t>
            </w:r>
          </w:p>
        </w:tc>
        <w:tc>
          <w:tcPr>
            <w:tcW w:w="2245" w:type="dxa"/>
          </w:tcPr>
          <w:p w14:paraId="097E02FA" w14:textId="77777777" w:rsidR="000A2CAE" w:rsidRDefault="00B95D65">
            <w:pPr>
              <w:pStyle w:val="CellColumn"/>
            </w:pPr>
            <w:r>
              <w:rPr>
                <w:rFonts w:cs="Times New Roman"/>
              </w:rPr>
              <w:t>Ukupan broj prevezenih putnika u domaćem i međunarodnom prometu u pristaništima Lučke uprave Vukovar</w:t>
            </w:r>
          </w:p>
        </w:tc>
        <w:tc>
          <w:tcPr>
            <w:tcW w:w="918" w:type="dxa"/>
          </w:tcPr>
          <w:p w14:paraId="4244D66F" w14:textId="77777777" w:rsidR="000A2CAE" w:rsidRDefault="00B95D65">
            <w:pPr>
              <w:pStyle w:val="CellColumn"/>
            </w:pPr>
            <w:r>
              <w:rPr>
                <w:rFonts w:cs="Times New Roman"/>
              </w:rPr>
              <w:t>putnik</w:t>
            </w:r>
          </w:p>
        </w:tc>
        <w:tc>
          <w:tcPr>
            <w:tcW w:w="918" w:type="dxa"/>
          </w:tcPr>
          <w:p w14:paraId="65E34134" w14:textId="77777777" w:rsidR="000A2CAE" w:rsidRDefault="00B95D65">
            <w:pPr>
              <w:pStyle w:val="CellColumn"/>
            </w:pPr>
            <w:r>
              <w:rPr>
                <w:rFonts w:cs="Times New Roman"/>
              </w:rPr>
              <w:t>80.000</w:t>
            </w:r>
          </w:p>
        </w:tc>
        <w:tc>
          <w:tcPr>
            <w:tcW w:w="918" w:type="dxa"/>
          </w:tcPr>
          <w:p w14:paraId="5A4962C6" w14:textId="77777777" w:rsidR="000A2CAE" w:rsidRDefault="00B95D65">
            <w:pPr>
              <w:pStyle w:val="CellColumn"/>
            </w:pPr>
            <w:r>
              <w:rPr>
                <w:rFonts w:cs="Times New Roman"/>
              </w:rPr>
              <w:t>Lučka uprava Vukovar</w:t>
            </w:r>
          </w:p>
        </w:tc>
        <w:tc>
          <w:tcPr>
            <w:tcW w:w="918" w:type="dxa"/>
          </w:tcPr>
          <w:p w14:paraId="4C5F1B93" w14:textId="77777777" w:rsidR="000A2CAE" w:rsidRDefault="00B95D65">
            <w:pPr>
              <w:pStyle w:val="CellColumn"/>
            </w:pPr>
            <w:r>
              <w:rPr>
                <w:rFonts w:cs="Times New Roman"/>
              </w:rPr>
              <w:t>85.000</w:t>
            </w:r>
          </w:p>
        </w:tc>
        <w:tc>
          <w:tcPr>
            <w:tcW w:w="918" w:type="dxa"/>
          </w:tcPr>
          <w:p w14:paraId="77B1A17A" w14:textId="77777777" w:rsidR="000A2CAE" w:rsidRDefault="00B95D65">
            <w:pPr>
              <w:pStyle w:val="CellColumn"/>
            </w:pPr>
            <w:r>
              <w:rPr>
                <w:rFonts w:cs="Times New Roman"/>
              </w:rPr>
              <w:t>90.000</w:t>
            </w:r>
          </w:p>
        </w:tc>
        <w:tc>
          <w:tcPr>
            <w:tcW w:w="918" w:type="dxa"/>
          </w:tcPr>
          <w:p w14:paraId="748CC5AB" w14:textId="77777777" w:rsidR="000A2CAE" w:rsidRDefault="00B95D65">
            <w:pPr>
              <w:pStyle w:val="CellColumn"/>
            </w:pPr>
            <w:r>
              <w:rPr>
                <w:rFonts w:cs="Times New Roman"/>
              </w:rPr>
              <w:t>95.000</w:t>
            </w:r>
          </w:p>
        </w:tc>
      </w:tr>
    </w:tbl>
    <w:p w14:paraId="1FB944D0" w14:textId="77777777" w:rsidR="000A2CAE" w:rsidRDefault="000A2CAE">
      <w:pPr>
        <w:jc w:val="left"/>
      </w:pPr>
    </w:p>
    <w:p w14:paraId="2191B163" w14:textId="77777777" w:rsidR="000A2CAE" w:rsidRDefault="00B95D65">
      <w:pPr>
        <w:pStyle w:val="Heading4"/>
      </w:pPr>
      <w:r>
        <w:t>A930001 ADMINISTRACIJA I UPRAVLJANJE</w:t>
      </w:r>
    </w:p>
    <w:p w14:paraId="6D4EE3ED" w14:textId="77777777" w:rsidR="000A2CAE" w:rsidRDefault="00B95D65">
      <w:pPr>
        <w:pStyle w:val="Heading8"/>
        <w:jc w:val="left"/>
      </w:pPr>
      <w:r>
        <w:t>Zakonske i druge pravne osnove</w:t>
      </w:r>
    </w:p>
    <w:p w14:paraId="068AE773" w14:textId="77777777" w:rsidR="000A2CAE" w:rsidRDefault="00B95D65" w:rsidP="007308F5">
      <w:pPr>
        <w:pStyle w:val="NoSpacing"/>
      </w:pPr>
      <w:r>
        <w:t xml:space="preserve">- Zakon o plovidbi i lukama unutarnjih voda   </w:t>
      </w:r>
    </w:p>
    <w:p w14:paraId="19DDCD12" w14:textId="77777777" w:rsidR="000A2CAE" w:rsidRDefault="00B95D65" w:rsidP="007308F5">
      <w:pPr>
        <w:pStyle w:val="NoSpacing"/>
      </w:pPr>
      <w:r>
        <w:t xml:space="preserve">- Uredba o upravljanju i vođenju poslova lučkih uprava unutarnjih voda  </w:t>
      </w:r>
    </w:p>
    <w:p w14:paraId="3A3D1A27" w14:textId="61994136" w:rsidR="000A2CAE" w:rsidRDefault="00B95D65" w:rsidP="007308F5">
      <w:pPr>
        <w:pStyle w:val="NoSpacing"/>
      </w:pPr>
      <w:r>
        <w:t>- Uredba o tehničko-tehnološkim uvjetima za luke i uvjetima sigurnosti plovidbe u lukama i pristaništima unutarnjih</w:t>
      </w:r>
      <w:r w:rsidR="007308F5">
        <w:t xml:space="preserve"> </w:t>
      </w:r>
      <w:r>
        <w:t xml:space="preserve">voda  </w:t>
      </w:r>
    </w:p>
    <w:p w14:paraId="55212342" w14:textId="77777777" w:rsidR="000A2CAE" w:rsidRDefault="00B95D65" w:rsidP="007308F5">
      <w:pPr>
        <w:pStyle w:val="NoSpacing"/>
      </w:pPr>
      <w:r>
        <w:t xml:space="preserve">- Uredba o određivanju lučkog područja luke Vukovar  </w:t>
      </w:r>
    </w:p>
    <w:p w14:paraId="735273B0" w14:textId="77777777" w:rsidR="000A2CAE" w:rsidRDefault="00B95D65" w:rsidP="007308F5">
      <w:pPr>
        <w:pStyle w:val="NoSpacing"/>
      </w:pPr>
      <w:r>
        <w:t xml:space="preserve">- Uredba o pristaništima unutarnjih voda  </w:t>
      </w:r>
    </w:p>
    <w:p w14:paraId="3D2D298A" w14:textId="77777777" w:rsidR="000A2CAE" w:rsidRDefault="00B95D65" w:rsidP="007308F5">
      <w:pPr>
        <w:pStyle w:val="NoSpacing"/>
      </w:pPr>
      <w:r>
        <w:t xml:space="preserve">- Pravilnik o kriterijima za određivanje naknada za koncesije u lukama i pristaništima unutarnjih voda  </w:t>
      </w:r>
    </w:p>
    <w:p w14:paraId="089F5DB1" w14:textId="77777777" w:rsidR="000A2CAE" w:rsidRDefault="00B95D65" w:rsidP="007308F5">
      <w:pPr>
        <w:pStyle w:val="NoSpacing"/>
      </w:pPr>
      <w:r>
        <w:t xml:space="preserve">- Pravilnik o tovarištima  </w:t>
      </w:r>
    </w:p>
    <w:p w14:paraId="64D9F882" w14:textId="77777777" w:rsidR="000A2CAE" w:rsidRDefault="00B95D65" w:rsidP="007308F5">
      <w:pPr>
        <w:pStyle w:val="NoSpacing"/>
      </w:pPr>
      <w:r>
        <w:t xml:space="preserve">- Pravilnik o uvjetima za obavljanje djelatnosti brodarskog agenta  </w:t>
      </w:r>
    </w:p>
    <w:p w14:paraId="191F8FAF" w14:textId="77777777" w:rsidR="000A2CAE" w:rsidRDefault="00B95D65" w:rsidP="007308F5">
      <w:pPr>
        <w:pStyle w:val="NoSpacing"/>
      </w:pPr>
      <w:r>
        <w:t>- Zakon o plaćama u državnoj službi i javnim službama</w:t>
      </w:r>
    </w:p>
    <w:p w14:paraId="33C43873" w14:textId="77777777" w:rsidR="007308F5" w:rsidRDefault="007308F5" w:rsidP="007308F5">
      <w:pPr>
        <w:pStyle w:val="NoSpacing"/>
      </w:pPr>
    </w:p>
    <w:tbl>
      <w:tblPr>
        <w:tblStyle w:val="StilTablice"/>
        <w:tblW w:w="10206" w:type="dxa"/>
        <w:jc w:val="center"/>
        <w:tblLook w:val="04A0" w:firstRow="1" w:lastRow="0" w:firstColumn="1" w:lastColumn="0" w:noHBand="0" w:noVBand="1"/>
      </w:tblPr>
      <w:tblGrid>
        <w:gridCol w:w="1792"/>
        <w:gridCol w:w="1500"/>
        <w:gridCol w:w="1486"/>
        <w:gridCol w:w="1486"/>
        <w:gridCol w:w="1486"/>
        <w:gridCol w:w="1486"/>
        <w:gridCol w:w="970"/>
      </w:tblGrid>
      <w:tr w:rsidR="000A2CAE" w14:paraId="01235148" w14:textId="77777777">
        <w:trPr>
          <w:jc w:val="center"/>
        </w:trPr>
        <w:tc>
          <w:tcPr>
            <w:tcW w:w="1530" w:type="dxa"/>
            <w:shd w:val="clear" w:color="auto" w:fill="B5C0D8"/>
          </w:tcPr>
          <w:p w14:paraId="6AD7FB19" w14:textId="77777777" w:rsidR="000A2CAE" w:rsidRDefault="00B95D65">
            <w:pPr>
              <w:pStyle w:val="CellHeader"/>
            </w:pPr>
            <w:r>
              <w:rPr>
                <w:rFonts w:cs="Times New Roman"/>
              </w:rPr>
              <w:t>Naziv aktivnosti</w:t>
            </w:r>
          </w:p>
        </w:tc>
        <w:tc>
          <w:tcPr>
            <w:tcW w:w="1632" w:type="dxa"/>
            <w:shd w:val="clear" w:color="auto" w:fill="B5C0D8"/>
          </w:tcPr>
          <w:p w14:paraId="7AC8D5B4" w14:textId="77777777" w:rsidR="000A2CAE" w:rsidRDefault="00B95D65">
            <w:pPr>
              <w:pStyle w:val="CellHeader"/>
            </w:pPr>
            <w:r>
              <w:rPr>
                <w:rFonts w:cs="Times New Roman"/>
              </w:rPr>
              <w:t>Izvršenje 2023. (eur)</w:t>
            </w:r>
          </w:p>
        </w:tc>
        <w:tc>
          <w:tcPr>
            <w:tcW w:w="1632" w:type="dxa"/>
            <w:shd w:val="clear" w:color="auto" w:fill="B5C0D8"/>
          </w:tcPr>
          <w:p w14:paraId="05BB62B0" w14:textId="77777777" w:rsidR="000A2CAE" w:rsidRDefault="00B95D65">
            <w:pPr>
              <w:pStyle w:val="CellHeader"/>
            </w:pPr>
            <w:r>
              <w:rPr>
                <w:rFonts w:cs="Times New Roman"/>
              </w:rPr>
              <w:t>Plan 2024. (eur)</w:t>
            </w:r>
          </w:p>
        </w:tc>
        <w:tc>
          <w:tcPr>
            <w:tcW w:w="1632" w:type="dxa"/>
            <w:shd w:val="clear" w:color="auto" w:fill="B5C0D8"/>
          </w:tcPr>
          <w:p w14:paraId="00C5BD01" w14:textId="77777777" w:rsidR="000A2CAE" w:rsidRDefault="00B95D65">
            <w:pPr>
              <w:pStyle w:val="CellHeader"/>
            </w:pPr>
            <w:r>
              <w:rPr>
                <w:rFonts w:cs="Times New Roman"/>
              </w:rPr>
              <w:t>Plan 2025. (eur)</w:t>
            </w:r>
          </w:p>
        </w:tc>
        <w:tc>
          <w:tcPr>
            <w:tcW w:w="1632" w:type="dxa"/>
            <w:shd w:val="clear" w:color="auto" w:fill="B5C0D8"/>
          </w:tcPr>
          <w:p w14:paraId="3CF07248" w14:textId="77777777" w:rsidR="000A2CAE" w:rsidRDefault="00B95D65">
            <w:pPr>
              <w:pStyle w:val="CellHeader"/>
            </w:pPr>
            <w:r>
              <w:rPr>
                <w:rFonts w:cs="Times New Roman"/>
              </w:rPr>
              <w:t>Plan 2026. (eur)</w:t>
            </w:r>
          </w:p>
        </w:tc>
        <w:tc>
          <w:tcPr>
            <w:tcW w:w="1632" w:type="dxa"/>
            <w:shd w:val="clear" w:color="auto" w:fill="B5C0D8"/>
          </w:tcPr>
          <w:p w14:paraId="6F5D005B" w14:textId="77777777" w:rsidR="000A2CAE" w:rsidRDefault="00B95D65">
            <w:pPr>
              <w:pStyle w:val="CellHeader"/>
            </w:pPr>
            <w:r>
              <w:rPr>
                <w:rFonts w:cs="Times New Roman"/>
              </w:rPr>
              <w:t>Plan 2027. (eur)</w:t>
            </w:r>
          </w:p>
        </w:tc>
        <w:tc>
          <w:tcPr>
            <w:tcW w:w="510" w:type="dxa"/>
            <w:shd w:val="clear" w:color="auto" w:fill="B5C0D8"/>
          </w:tcPr>
          <w:p w14:paraId="5DE3A44F" w14:textId="77777777" w:rsidR="000A2CAE" w:rsidRDefault="00B95D65">
            <w:pPr>
              <w:pStyle w:val="CellHeader"/>
            </w:pPr>
            <w:r>
              <w:rPr>
                <w:rFonts w:cs="Times New Roman"/>
              </w:rPr>
              <w:t>Indeks 2025/2024</w:t>
            </w:r>
          </w:p>
        </w:tc>
      </w:tr>
      <w:tr w:rsidR="000A2CAE" w14:paraId="521F2F4A" w14:textId="77777777">
        <w:trPr>
          <w:jc w:val="center"/>
        </w:trPr>
        <w:tc>
          <w:tcPr>
            <w:tcW w:w="1530" w:type="dxa"/>
          </w:tcPr>
          <w:p w14:paraId="42F1DDD2" w14:textId="77777777" w:rsidR="000A2CAE" w:rsidRDefault="00B95D65">
            <w:pPr>
              <w:pStyle w:val="CellColumn"/>
            </w:pPr>
            <w:r>
              <w:rPr>
                <w:rFonts w:cs="Times New Roman"/>
              </w:rPr>
              <w:t>A930001-ADMINISTRACIJA I UPRAVLJANJE</w:t>
            </w:r>
          </w:p>
        </w:tc>
        <w:tc>
          <w:tcPr>
            <w:tcW w:w="1632" w:type="dxa"/>
          </w:tcPr>
          <w:p w14:paraId="53D790A3" w14:textId="4133C6AB" w:rsidR="000A2CAE" w:rsidRDefault="00D041A4">
            <w:pPr>
              <w:pStyle w:val="CellColumn"/>
            </w:pPr>
            <w:r>
              <w:rPr>
                <w:rFonts w:cs="Times New Roman"/>
              </w:rPr>
              <w:t>431.969</w:t>
            </w:r>
          </w:p>
        </w:tc>
        <w:tc>
          <w:tcPr>
            <w:tcW w:w="1632" w:type="dxa"/>
          </w:tcPr>
          <w:p w14:paraId="0FD4B03C" w14:textId="77777777" w:rsidR="000A2CAE" w:rsidRDefault="00B95D65">
            <w:pPr>
              <w:pStyle w:val="CellColumn"/>
            </w:pPr>
            <w:r>
              <w:rPr>
                <w:rFonts w:cs="Times New Roman"/>
              </w:rPr>
              <w:t>653.680</w:t>
            </w:r>
          </w:p>
        </w:tc>
        <w:tc>
          <w:tcPr>
            <w:tcW w:w="1632" w:type="dxa"/>
          </w:tcPr>
          <w:p w14:paraId="6D799A4D" w14:textId="77777777" w:rsidR="000A2CAE" w:rsidRDefault="00B95D65">
            <w:pPr>
              <w:pStyle w:val="CellColumn"/>
            </w:pPr>
            <w:r>
              <w:rPr>
                <w:rFonts w:cs="Times New Roman"/>
              </w:rPr>
              <w:t>715.000</w:t>
            </w:r>
          </w:p>
        </w:tc>
        <w:tc>
          <w:tcPr>
            <w:tcW w:w="1632" w:type="dxa"/>
          </w:tcPr>
          <w:p w14:paraId="6D217820" w14:textId="77777777" w:rsidR="000A2CAE" w:rsidRDefault="00B95D65">
            <w:pPr>
              <w:pStyle w:val="CellColumn"/>
            </w:pPr>
            <w:r>
              <w:rPr>
                <w:rFonts w:cs="Times New Roman"/>
              </w:rPr>
              <w:t>715.000</w:t>
            </w:r>
          </w:p>
        </w:tc>
        <w:tc>
          <w:tcPr>
            <w:tcW w:w="1632" w:type="dxa"/>
          </w:tcPr>
          <w:p w14:paraId="380A6314" w14:textId="77777777" w:rsidR="000A2CAE" w:rsidRDefault="00B95D65">
            <w:pPr>
              <w:pStyle w:val="CellColumn"/>
            </w:pPr>
            <w:r>
              <w:rPr>
                <w:rFonts w:cs="Times New Roman"/>
              </w:rPr>
              <w:t>715.000</w:t>
            </w:r>
          </w:p>
        </w:tc>
        <w:tc>
          <w:tcPr>
            <w:tcW w:w="510" w:type="dxa"/>
          </w:tcPr>
          <w:p w14:paraId="0187CF0F" w14:textId="77777777" w:rsidR="000A2CAE" w:rsidRDefault="00B95D65">
            <w:pPr>
              <w:pStyle w:val="CellColumn"/>
            </w:pPr>
            <w:r>
              <w:rPr>
                <w:rFonts w:cs="Times New Roman"/>
              </w:rPr>
              <w:t>109,4</w:t>
            </w:r>
          </w:p>
        </w:tc>
      </w:tr>
    </w:tbl>
    <w:p w14:paraId="1166169C" w14:textId="77777777" w:rsidR="000A2CAE" w:rsidRDefault="000A2CAE">
      <w:pPr>
        <w:jc w:val="left"/>
      </w:pPr>
    </w:p>
    <w:p w14:paraId="147E0CC1" w14:textId="77777777" w:rsidR="000A2CAE" w:rsidRDefault="00B95D65">
      <w:r>
        <w:t xml:space="preserve">Ova aktivnost pokriva troškove rada zaposlenika, naknade troškova zaposlenima, rashode za materijal i energiju, rashode za usluge, ostale nespomenute rashode poslovanja, financijske rashode, rashode za nabavu materijalne i nematerijalne imovine te dodatna ulaganja na građevinskim objektima.   </w:t>
      </w:r>
    </w:p>
    <w:p w14:paraId="42BC16CA" w14:textId="77777777" w:rsidR="000A2CAE" w:rsidRDefault="00B95D65">
      <w:r>
        <w:t xml:space="preserve">Rashodi za zaposlene i naknade troškova zaposlenima planirani su na bazi 11 zaposlenih te je za njih predviđeno 55% od ukupno planiranih sredstava na ovoj aktivnosti za razdoblje od 2025. do 2027. godine.    </w:t>
      </w:r>
    </w:p>
    <w:p w14:paraId="44C31295" w14:textId="77777777" w:rsidR="000A2CAE" w:rsidRDefault="00B95D65">
      <w:r>
        <w:t xml:space="preserve">Rashodi za energiju i materijal planirani su za lokacije upravne zgrade, putničkog pristaništa u Vukovaru, Iloku, Aljmašu, Batini, riječnoj marini »Marina« u Vukovaru, pristaništa za mala plovila u Vukovaru i teretne luke u Vukovaru. Za navedeno je planirano 4% od ukupno planiranih sredstava za razdoblje od 2025. do 2027. godine. </w:t>
      </w:r>
    </w:p>
    <w:p w14:paraId="0AACB7BF" w14:textId="77777777" w:rsidR="000A2CAE" w:rsidRDefault="00B95D65">
      <w:r>
        <w:lastRenderedPageBreak/>
        <w:t xml:space="preserve">U okviru rashoda za usluge planirana su sredstva za mjesečne rate leasing-a za službeni automobil, najamnine za poslovni prostor, usluge tekućeg i investicijskog održavanja, usluge telefona, pošte i prijevoza, računalne, komunalne, usluge promidžbe i informiranja, zdravstvene usluge te intelektualne usluge poput savjetodavnih, geodetsko-katastarskih, odvjetničkih i drugih usluga. Za navedeno je planirano 20% od ukupno planiranih sredstava na ovoj aktivnosti za razdoblje od 2025. do 2027. godine. </w:t>
      </w:r>
    </w:p>
    <w:p w14:paraId="1F11D728" w14:textId="77777777" w:rsidR="000A2CAE" w:rsidRDefault="00B95D65">
      <w:r>
        <w:t xml:space="preserve">Ostali nespomenuti rashodi poslovanja odnose se na naknade upravnog vijeća, premije osiguranja, troškove reprezentacije, članarine i ostale nespomenute rashode za koje je planirano 9% od ukupno planiranih sredstava za razdoblje od 2025. do 2027. godine. Financijski rashodi odnose se na bankarske usluge, zatezne kamate i ostale rashode te nemaju značaj udio u odnosu na planirana sredstva.     </w:t>
      </w:r>
    </w:p>
    <w:p w14:paraId="0A77D8ED" w14:textId="77777777" w:rsidR="000A2CAE" w:rsidRDefault="00B95D65">
      <w:r>
        <w:t>U sklopu rashoda za nabavu neproizvedene dugotrajne imovine planirani su rashodi za licence za koje je planirano 0,14% od ukupno planiranih sredstava dok je za rashode za nabavu proizvedene dugotrajne imovine planirano 3% od ukupno planiranih sredstava za razdoblje od 2025. do 2027. godine. Isti obuhvaćaju troškove za nabavu uredske opreme i namještaja, komunikacijske opreme, opreme za održavanje i zaštitu i ulaganje u računalne programe.</w:t>
      </w:r>
    </w:p>
    <w:p w14:paraId="33AF9991" w14:textId="77777777" w:rsidR="007308F5" w:rsidRDefault="007308F5"/>
    <w:p w14:paraId="32C9A2D6" w14:textId="77777777" w:rsidR="000A2CAE" w:rsidRDefault="00B95D65">
      <w:pPr>
        <w:pStyle w:val="Heading4"/>
      </w:pPr>
      <w:r>
        <w:t>A930002 GRADNJA I ODRŽAVANJE</w:t>
      </w:r>
    </w:p>
    <w:p w14:paraId="7C78C20E" w14:textId="77777777" w:rsidR="000A2CAE" w:rsidRDefault="00B95D65">
      <w:pPr>
        <w:pStyle w:val="Heading8"/>
        <w:jc w:val="left"/>
      </w:pPr>
      <w:r>
        <w:t>Zakonske i druge pravne osnove</w:t>
      </w:r>
    </w:p>
    <w:p w14:paraId="3FB99CE1" w14:textId="77777777" w:rsidR="000A2CAE" w:rsidRDefault="00B95D65" w:rsidP="007308F5">
      <w:pPr>
        <w:pStyle w:val="NoSpacing"/>
      </w:pPr>
      <w:r>
        <w:t xml:space="preserve">- Zakon o plovidbi i lukama unutarnjih voda   </w:t>
      </w:r>
    </w:p>
    <w:p w14:paraId="4EC43F13" w14:textId="77777777" w:rsidR="000A2CAE" w:rsidRDefault="00B95D65" w:rsidP="007308F5">
      <w:pPr>
        <w:pStyle w:val="NoSpacing"/>
      </w:pPr>
      <w:r>
        <w:t xml:space="preserve">- Uredba o tehničko-tehnološkim uvjetima za luke i uvjetima sigurnosti plovidbe u lukama i pristaništima unutarnjih voda  </w:t>
      </w:r>
    </w:p>
    <w:p w14:paraId="59B4A5DA" w14:textId="77777777" w:rsidR="000A2CAE" w:rsidRDefault="00B95D65" w:rsidP="007308F5">
      <w:pPr>
        <w:pStyle w:val="NoSpacing"/>
      </w:pPr>
      <w:r>
        <w:t xml:space="preserve">- Uredba o određivanju lučkog područja luke Vukovar  </w:t>
      </w:r>
    </w:p>
    <w:p w14:paraId="024B6FE5" w14:textId="77777777" w:rsidR="000A2CAE" w:rsidRDefault="00B95D65" w:rsidP="007308F5">
      <w:pPr>
        <w:pStyle w:val="NoSpacing"/>
      </w:pPr>
      <w:r>
        <w:t xml:space="preserve">- Uredba o pristaništima unutarnjih voda  </w:t>
      </w:r>
    </w:p>
    <w:p w14:paraId="2310538C" w14:textId="77777777" w:rsidR="000A2CAE" w:rsidRDefault="00B95D65" w:rsidP="007308F5">
      <w:pPr>
        <w:pStyle w:val="NoSpacing"/>
      </w:pPr>
      <w:r>
        <w:t>- Strategija prometnog razvoja Republike Hrvatske 2017. -2030., točke 2.7, 4.2.6 i 5.6.</w:t>
      </w:r>
    </w:p>
    <w:p w14:paraId="5F8E3AA9" w14:textId="77777777" w:rsidR="007308F5" w:rsidRDefault="007308F5" w:rsidP="007308F5">
      <w:pPr>
        <w:pStyle w:val="NoSpacing"/>
      </w:pPr>
    </w:p>
    <w:tbl>
      <w:tblPr>
        <w:tblStyle w:val="StilTablice"/>
        <w:tblW w:w="10206" w:type="dxa"/>
        <w:jc w:val="center"/>
        <w:tblLook w:val="04A0" w:firstRow="1" w:lastRow="0" w:firstColumn="1" w:lastColumn="0" w:noHBand="0" w:noVBand="1"/>
      </w:tblPr>
      <w:tblGrid>
        <w:gridCol w:w="1520"/>
        <w:gridCol w:w="1544"/>
        <w:gridCol w:w="1543"/>
        <w:gridCol w:w="1543"/>
        <w:gridCol w:w="1543"/>
        <w:gridCol w:w="1543"/>
        <w:gridCol w:w="970"/>
      </w:tblGrid>
      <w:tr w:rsidR="000A2CAE" w14:paraId="2F37134A" w14:textId="77777777">
        <w:trPr>
          <w:jc w:val="center"/>
        </w:trPr>
        <w:tc>
          <w:tcPr>
            <w:tcW w:w="1530" w:type="dxa"/>
            <w:shd w:val="clear" w:color="auto" w:fill="B5C0D8"/>
          </w:tcPr>
          <w:p w14:paraId="4461F3E9" w14:textId="77777777" w:rsidR="000A2CAE" w:rsidRDefault="00B95D65">
            <w:pPr>
              <w:pStyle w:val="CellHeader"/>
            </w:pPr>
            <w:r>
              <w:rPr>
                <w:rFonts w:cs="Times New Roman"/>
              </w:rPr>
              <w:t>Naziv aktivnosti</w:t>
            </w:r>
          </w:p>
        </w:tc>
        <w:tc>
          <w:tcPr>
            <w:tcW w:w="1632" w:type="dxa"/>
            <w:shd w:val="clear" w:color="auto" w:fill="B5C0D8"/>
          </w:tcPr>
          <w:p w14:paraId="7CD6F826" w14:textId="77777777" w:rsidR="000A2CAE" w:rsidRDefault="00B95D65">
            <w:pPr>
              <w:pStyle w:val="CellHeader"/>
            </w:pPr>
            <w:r>
              <w:rPr>
                <w:rFonts w:cs="Times New Roman"/>
              </w:rPr>
              <w:t>Izvršenje 2023. (eur)</w:t>
            </w:r>
          </w:p>
        </w:tc>
        <w:tc>
          <w:tcPr>
            <w:tcW w:w="1632" w:type="dxa"/>
            <w:shd w:val="clear" w:color="auto" w:fill="B5C0D8"/>
          </w:tcPr>
          <w:p w14:paraId="5DFAC715" w14:textId="77777777" w:rsidR="000A2CAE" w:rsidRDefault="00B95D65">
            <w:pPr>
              <w:pStyle w:val="CellHeader"/>
            </w:pPr>
            <w:r>
              <w:rPr>
                <w:rFonts w:cs="Times New Roman"/>
              </w:rPr>
              <w:t>Plan 2024. (eur)</w:t>
            </w:r>
          </w:p>
        </w:tc>
        <w:tc>
          <w:tcPr>
            <w:tcW w:w="1632" w:type="dxa"/>
            <w:shd w:val="clear" w:color="auto" w:fill="B5C0D8"/>
          </w:tcPr>
          <w:p w14:paraId="78B46570" w14:textId="77777777" w:rsidR="000A2CAE" w:rsidRDefault="00B95D65">
            <w:pPr>
              <w:pStyle w:val="CellHeader"/>
            </w:pPr>
            <w:r>
              <w:rPr>
                <w:rFonts w:cs="Times New Roman"/>
              </w:rPr>
              <w:t>Plan 2025. (eur)</w:t>
            </w:r>
          </w:p>
        </w:tc>
        <w:tc>
          <w:tcPr>
            <w:tcW w:w="1632" w:type="dxa"/>
            <w:shd w:val="clear" w:color="auto" w:fill="B5C0D8"/>
          </w:tcPr>
          <w:p w14:paraId="3BA480B5" w14:textId="77777777" w:rsidR="000A2CAE" w:rsidRDefault="00B95D65">
            <w:pPr>
              <w:pStyle w:val="CellHeader"/>
            </w:pPr>
            <w:r>
              <w:rPr>
                <w:rFonts w:cs="Times New Roman"/>
              </w:rPr>
              <w:t>Plan 2026. (eur)</w:t>
            </w:r>
          </w:p>
        </w:tc>
        <w:tc>
          <w:tcPr>
            <w:tcW w:w="1632" w:type="dxa"/>
            <w:shd w:val="clear" w:color="auto" w:fill="B5C0D8"/>
          </w:tcPr>
          <w:p w14:paraId="30EA85E2" w14:textId="77777777" w:rsidR="000A2CAE" w:rsidRDefault="00B95D65">
            <w:pPr>
              <w:pStyle w:val="CellHeader"/>
            </w:pPr>
            <w:r>
              <w:rPr>
                <w:rFonts w:cs="Times New Roman"/>
              </w:rPr>
              <w:t>Plan 2027. (eur)</w:t>
            </w:r>
          </w:p>
        </w:tc>
        <w:tc>
          <w:tcPr>
            <w:tcW w:w="510" w:type="dxa"/>
            <w:shd w:val="clear" w:color="auto" w:fill="B5C0D8"/>
          </w:tcPr>
          <w:p w14:paraId="301EF8AF" w14:textId="77777777" w:rsidR="000A2CAE" w:rsidRDefault="00B95D65">
            <w:pPr>
              <w:pStyle w:val="CellHeader"/>
            </w:pPr>
            <w:r>
              <w:rPr>
                <w:rFonts w:cs="Times New Roman"/>
              </w:rPr>
              <w:t>Indeks 2025/2024</w:t>
            </w:r>
          </w:p>
        </w:tc>
      </w:tr>
      <w:tr w:rsidR="000A2CAE" w14:paraId="445E5A80" w14:textId="77777777">
        <w:trPr>
          <w:jc w:val="center"/>
        </w:trPr>
        <w:tc>
          <w:tcPr>
            <w:tcW w:w="1530" w:type="dxa"/>
          </w:tcPr>
          <w:p w14:paraId="6EEBBCD2" w14:textId="77777777" w:rsidR="000A2CAE" w:rsidRDefault="00B95D65">
            <w:pPr>
              <w:pStyle w:val="CellColumn"/>
            </w:pPr>
            <w:r>
              <w:rPr>
                <w:rFonts w:cs="Times New Roman"/>
              </w:rPr>
              <w:t>A930002-GRADNJA I ODRŽAVANJE</w:t>
            </w:r>
          </w:p>
        </w:tc>
        <w:tc>
          <w:tcPr>
            <w:tcW w:w="1632" w:type="dxa"/>
          </w:tcPr>
          <w:p w14:paraId="64B7B44E" w14:textId="78EB25AF" w:rsidR="000A2CAE" w:rsidRDefault="009D1766">
            <w:pPr>
              <w:pStyle w:val="CellColumn"/>
            </w:pPr>
            <w:r>
              <w:rPr>
                <w:rFonts w:cs="Times New Roman"/>
              </w:rPr>
              <w:t>2.645.062</w:t>
            </w:r>
          </w:p>
        </w:tc>
        <w:tc>
          <w:tcPr>
            <w:tcW w:w="1632" w:type="dxa"/>
          </w:tcPr>
          <w:p w14:paraId="768D0374" w14:textId="77777777" w:rsidR="000A2CAE" w:rsidRDefault="00B95D65">
            <w:pPr>
              <w:pStyle w:val="CellColumn"/>
            </w:pPr>
            <w:r>
              <w:rPr>
                <w:rFonts w:cs="Times New Roman"/>
              </w:rPr>
              <w:t>3.880.798</w:t>
            </w:r>
          </w:p>
        </w:tc>
        <w:tc>
          <w:tcPr>
            <w:tcW w:w="1632" w:type="dxa"/>
          </w:tcPr>
          <w:p w14:paraId="1ACA614B" w14:textId="77777777" w:rsidR="000A2CAE" w:rsidRDefault="00B95D65">
            <w:pPr>
              <w:pStyle w:val="CellColumn"/>
            </w:pPr>
            <w:r>
              <w:rPr>
                <w:rFonts w:cs="Times New Roman"/>
              </w:rPr>
              <w:t>5.984.250</w:t>
            </w:r>
          </w:p>
        </w:tc>
        <w:tc>
          <w:tcPr>
            <w:tcW w:w="1632" w:type="dxa"/>
          </w:tcPr>
          <w:p w14:paraId="6103404D" w14:textId="77777777" w:rsidR="000A2CAE" w:rsidRDefault="00B95D65">
            <w:pPr>
              <w:pStyle w:val="CellColumn"/>
            </w:pPr>
            <w:r>
              <w:rPr>
                <w:rFonts w:cs="Times New Roman"/>
              </w:rPr>
              <w:t>5.484.250</w:t>
            </w:r>
          </w:p>
        </w:tc>
        <w:tc>
          <w:tcPr>
            <w:tcW w:w="1632" w:type="dxa"/>
          </w:tcPr>
          <w:p w14:paraId="54C6C3CE" w14:textId="77777777" w:rsidR="000A2CAE" w:rsidRDefault="00B95D65">
            <w:pPr>
              <w:pStyle w:val="CellColumn"/>
            </w:pPr>
            <w:r>
              <w:rPr>
                <w:rFonts w:cs="Times New Roman"/>
              </w:rPr>
              <w:t>5.503.000</w:t>
            </w:r>
          </w:p>
        </w:tc>
        <w:tc>
          <w:tcPr>
            <w:tcW w:w="510" w:type="dxa"/>
          </w:tcPr>
          <w:p w14:paraId="68529D03" w14:textId="77777777" w:rsidR="000A2CAE" w:rsidRDefault="00B95D65">
            <w:pPr>
              <w:pStyle w:val="CellColumn"/>
            </w:pPr>
            <w:r>
              <w:rPr>
                <w:rFonts w:cs="Times New Roman"/>
              </w:rPr>
              <w:t>154,2</w:t>
            </w:r>
          </w:p>
        </w:tc>
      </w:tr>
    </w:tbl>
    <w:p w14:paraId="72C2B53E" w14:textId="77777777" w:rsidR="000A2CAE" w:rsidRDefault="000A2CAE">
      <w:pPr>
        <w:jc w:val="left"/>
      </w:pPr>
    </w:p>
    <w:p w14:paraId="237FF5C5" w14:textId="71E8BDE7" w:rsidR="000A2CAE" w:rsidRDefault="00B95D65">
      <w:r>
        <w:t xml:space="preserve">Projekti gradnje i održavanja provode se svake godine i temelje se na ulaganju u lučku infrastrukturu u cilju kvalitativnog i tehnološkog osuvremenjivanja luka unutarnjih voda kako bi se što kvalitetnije udovoljilo postojećoj i očekivanoj transportnoj potražnji na unutarnjim vodama. Rekonstrukcijom postojećih lučkih kapaciteta, izgradnjom novih kapaciteta i proširenjem lučkog područja, Lučka uprava Vukovar želi modernizirati luku u tehničko tehnološkom smislu i povezati s gospodarsko-poduzetničkim zonama odnosno integrirati u logističko distribucijske lance. U okviru ove aktivnosti planiranje se temelji na projekatima gradnje i modernizacije te održavanja lučkih građevina.   </w:t>
      </w:r>
    </w:p>
    <w:p w14:paraId="627B0F6A" w14:textId="529307F5" w:rsidR="000A2CAE" w:rsidRPr="007308F5" w:rsidRDefault="00B95D65">
      <w:pPr>
        <w:rPr>
          <w:b/>
          <w:bCs/>
        </w:rPr>
      </w:pPr>
      <w:r w:rsidRPr="007308F5">
        <w:rPr>
          <w:b/>
          <w:bCs/>
        </w:rPr>
        <w:t xml:space="preserve">Gradnja i modernizacija  </w:t>
      </w:r>
    </w:p>
    <w:p w14:paraId="260B3664" w14:textId="77777777" w:rsidR="000A2CAE" w:rsidRDefault="00B95D65">
      <w:r>
        <w:t xml:space="preserve">- Postavljanje plutajućeg objekta u Vukovaru -   </w:t>
      </w:r>
    </w:p>
    <w:p w14:paraId="04D3507B" w14:textId="72CDD7C4" w:rsidR="000A2CAE" w:rsidRDefault="00B95D65">
      <w:r>
        <w:t xml:space="preserve">Za potrebe postavljanja plutajućeg objekta – pristana u  putničkom pristaništu Vukovar izrađena je projektna dokumentacija kojom se predviđa smještaj plutajućeg objekta u prostoru, odnosno stvaraju se preduvjeti za upis plutajućeg objekta pri nadležnoj lučkoj kapetaniji. Lučka uprava Vukovar temeljem izrađene tehničke dokumentacije i ishođene lokacijske dozvole planira provesti postupak javne nabave za izgradnju i postavljanje plutajućeg objekta.  </w:t>
      </w:r>
    </w:p>
    <w:p w14:paraId="39C32366" w14:textId="77777777" w:rsidR="000A2CAE" w:rsidRDefault="00B95D65">
      <w:r>
        <w:t xml:space="preserve">- Upravna zgrada Lučke uprave Vukovar -  </w:t>
      </w:r>
    </w:p>
    <w:p w14:paraId="2986B79B" w14:textId="47304252" w:rsidR="000A2CAE" w:rsidRDefault="00B95D65">
      <w:r>
        <w:t xml:space="preserve">Lučka uprava Vukovar od osnutka 2001. godine nije trajno riješila pitanje poslovnih ureda. Kako je dio vremena provela u uredima koji nisu bili adekvatni za smještaj djelatnika (montažni objekti) problem je djelomično riješen preseljenjem u iznajmljeni prostor što nije trajno rješenje. Temeljem izrađene cjelokupne projektne dokumentacije, planirana sredstva u 2025. godini namjeravaju se utrošiti za početak postupka javne nabave i ugovaranje izvođenja građevinskih radova.   </w:t>
      </w:r>
    </w:p>
    <w:p w14:paraId="74D0FBBB" w14:textId="77777777" w:rsidR="007308F5" w:rsidRDefault="007308F5"/>
    <w:p w14:paraId="5597B904" w14:textId="77777777" w:rsidR="007308F5" w:rsidRDefault="007308F5"/>
    <w:p w14:paraId="303E8675" w14:textId="77777777" w:rsidR="000A2CAE" w:rsidRDefault="00B95D65">
      <w:r>
        <w:lastRenderedPageBreak/>
        <w:t xml:space="preserve">- Postavljanje plutajućeg objekta u Iloku -  </w:t>
      </w:r>
    </w:p>
    <w:p w14:paraId="7A140464" w14:textId="2EA22152" w:rsidR="000A2CAE" w:rsidRDefault="00B95D65">
      <w:r>
        <w:t xml:space="preserve">S ciljem modernizacije postojećeg putničkog pristaništa Ilok, Lučka uprava Vukovar finalizirala je izradu projektne dokumentacije novog pristana za putnička plovila u Iloku te je ishodila lokacijsku dozvolu za postavljanje novog plutajućeg objekta-pristana. Nakon ishođenja građevinske dozvole, tijekom 2025. godine planiran je početak javne nabave te izvođenje građevinskih radova. </w:t>
      </w:r>
    </w:p>
    <w:p w14:paraId="6CF95FD2" w14:textId="77777777" w:rsidR="000A2CAE" w:rsidRDefault="00B95D65">
      <w:r>
        <w:t xml:space="preserve">- Dodatna ulaganja na građevinskim objektima –   </w:t>
      </w:r>
    </w:p>
    <w:p w14:paraId="1BE4121D" w14:textId="1D696EEE" w:rsidR="000A2CAE" w:rsidRDefault="00B95D65">
      <w:r>
        <w:t xml:space="preserve">Predviđenom aktivnošću planirana su sredstva za podizanje razine funkcionalnosti postojećih lučkih građevina na lučkom područje luke Vukovar i pristaništima.  </w:t>
      </w:r>
    </w:p>
    <w:p w14:paraId="1797B0EA" w14:textId="77777777" w:rsidR="000A2CAE" w:rsidRDefault="00B95D65">
      <w:r>
        <w:t xml:space="preserve">- Projektiranje infrastrukture na lučkom području luke Vukovar –  </w:t>
      </w:r>
    </w:p>
    <w:p w14:paraId="65950AFA" w14:textId="2B4B7BD1" w:rsidR="000A2CAE" w:rsidRDefault="00B95D65">
      <w:r>
        <w:t xml:space="preserve">S ciljem rekonstrukcije te sanacije infrastrukture na lučkom području luke Vukovar predviđena su sredstva za izradu projektne dokumentacije.  </w:t>
      </w:r>
    </w:p>
    <w:p w14:paraId="112B95FE" w14:textId="77777777" w:rsidR="000A2CAE" w:rsidRDefault="00B95D65">
      <w:r>
        <w:t xml:space="preserve">- Izgradnja pristaništa u akvatoriju lučice Otok sportova –  </w:t>
      </w:r>
    </w:p>
    <w:p w14:paraId="5943E5BB" w14:textId="5F21BCE5" w:rsidR="000A2CAE" w:rsidRDefault="00B95D65">
      <w:r>
        <w:t xml:space="preserve">Nakon završetka novelacije projektne dokumentacije za izgradnju marine na Otoku sportova u Vukovaru u 2025. godini se očekuje ishođenje akata za gradnju, nakon čega će se provesti postupci javne nabave te izvođenje građevinskih radova. </w:t>
      </w:r>
    </w:p>
    <w:p w14:paraId="1CD11AD1" w14:textId="77777777" w:rsidR="000A2CAE" w:rsidRDefault="00B95D65">
      <w:r>
        <w:t xml:space="preserve">- Otkup zemljišta -  </w:t>
      </w:r>
    </w:p>
    <w:p w14:paraId="69F253AE" w14:textId="5A598E60" w:rsidR="000A2CAE" w:rsidRDefault="00B95D65">
      <w:r>
        <w:t xml:space="preserve">Za potrebe proširenja lučkog područja luke Vukovar planiran je otkup zemljišta za potrebe proširenje postojeće lučkog područja.  </w:t>
      </w:r>
    </w:p>
    <w:p w14:paraId="10813AA4" w14:textId="77777777" w:rsidR="000A2CAE" w:rsidRDefault="00B95D65">
      <w:r>
        <w:t xml:space="preserve">- Izgradnja putničkog pristaništa Vučedol -  </w:t>
      </w:r>
    </w:p>
    <w:p w14:paraId="2554E9C6" w14:textId="032379BA" w:rsidR="000A2CAE" w:rsidRDefault="00B95D65">
      <w:r>
        <w:t xml:space="preserve">Lučka uprava Vukovar je kao projektni partner u Projektu uređenja Arheološkog parka Vučedol izradila projektnu dokumentaciju za potrebe izgradnje putničkog pristaništa. Projekt izgradnje putničkog pristaništa Vučedol nadovezuje se na cijeli projekt Arheološkog parka za koji je početkom 2021. godine pokrenut ponovljeni postupak izdavanja lokacijske dozvole budući da je prethodna lokacijska dozvola istekla. Kroz novelaciju projekta Arheološkog parka definirane su trase komunalne infrastrukture sukladno posebnim uvjetima javno pravnih tijela, koje su bitne za postupak izdavanja posebnih uvjeta za izgradnju putničkog pristaništa Vučedol. Lučka uprava Vukovar je tijekom 2022. godine ishodila Lokacijsku dozvolu za te je pokrenula postupak ishođenja Građevinske dozvole. Kako je LUV ishodila sve potrebne suglasnosti za izdavanje građevinske dozvole, u listopadu 2024. je poslana nadopuna zahtjeva za izdavanje građevinske dozvole. U 2025. godini se očekuje provedba postupka javne nabave za radove, odabir izvođača te početak građevinskih radova.  </w:t>
      </w:r>
    </w:p>
    <w:p w14:paraId="45992047" w14:textId="77777777" w:rsidR="000A2CAE" w:rsidRDefault="00B95D65">
      <w:r>
        <w:t xml:space="preserve">- Studijska dokumentacija/elaborati -  </w:t>
      </w:r>
    </w:p>
    <w:p w14:paraId="0323A9DC" w14:textId="6F3CC9F8" w:rsidR="000A2CAE" w:rsidRDefault="00B95D65">
      <w:r>
        <w:t xml:space="preserve">Za potrebe parcelacije, utvrđivanje pristanišnog područja te razvrstavanja i otvaranja pristaništa, izmjene prostornih planova, planova razvoja i revitalizacije predviđena su sredstva za ugovaranje usluga pripreme elaborata.  </w:t>
      </w:r>
    </w:p>
    <w:p w14:paraId="0A381D10" w14:textId="77777777" w:rsidR="000A2CAE" w:rsidRDefault="00B95D65">
      <w:r>
        <w:t xml:space="preserve">- Izgradnja riječne marine na Vučedolu -  </w:t>
      </w:r>
    </w:p>
    <w:p w14:paraId="468AB97A" w14:textId="3B54BA81" w:rsidR="000A2CAE" w:rsidRDefault="00B95D65">
      <w:r>
        <w:t xml:space="preserve">Tijekom 2025. godine planira se priprema projektne dokumentacije za izgradnju riječne marine na lokaciji Vučedol u Vukovaru te pokretanje postupaka izdavanja akata za gradnju. Po ishođenju akata za gradnju planira se provedba postupka javne nabave za gradnju.  </w:t>
      </w:r>
    </w:p>
    <w:p w14:paraId="6749748C" w14:textId="557C2CEB" w:rsidR="000A2CAE" w:rsidRPr="007308F5" w:rsidRDefault="00B95D65">
      <w:pPr>
        <w:rPr>
          <w:b/>
          <w:bCs/>
        </w:rPr>
      </w:pPr>
      <w:r w:rsidRPr="007308F5">
        <w:rPr>
          <w:b/>
          <w:bCs/>
        </w:rPr>
        <w:t xml:space="preserve">Održavanje  </w:t>
      </w:r>
    </w:p>
    <w:p w14:paraId="08091806" w14:textId="77777777" w:rsidR="000A2CAE" w:rsidRDefault="00B95D65">
      <w:r>
        <w:t xml:space="preserve">- Ispitivanje nosivosti i izrada elaborata nosivosti priveznih elemenata - bitvi u luci Vukovar i putničkim pristaništima - Faza 2   </w:t>
      </w:r>
    </w:p>
    <w:p w14:paraId="6001DEB6" w14:textId="40BA77DF" w:rsidR="000A2CAE" w:rsidRDefault="00B95D65">
      <w:r>
        <w:t xml:space="preserve">Ispitivanje nosivosti potrebno je ponoviti u luci Vukovar, putničkom pristaništu Vukovar i po potrebi u drugim putničkim pristaništima kako bi se analiziralo trenutno stanje bitvi s aspekta tehničkih uvjeta kojima moraju udovoljavati privezni elementi, a s ciljem zadovoljenja osnovnih uvjeta sigurnosti. Tome u prilog ide činjenica kako su tijekom redovitih pregleda bitvi koje se koriste za privez postojećeg pontona u putničkom pristaništu Vukovar uočena oštećenja uslijed eksploatacije.   </w:t>
      </w:r>
    </w:p>
    <w:p w14:paraId="42C9E3DA" w14:textId="77777777" w:rsidR="000A2CAE" w:rsidRDefault="00B95D65">
      <w:r>
        <w:t xml:space="preserve">- Održavanje industrijskih kolosijeka -  </w:t>
      </w:r>
    </w:p>
    <w:p w14:paraId="17F0E59D" w14:textId="1CEC702A" w:rsidR="000A2CAE" w:rsidRDefault="00B95D65">
      <w:r>
        <w:t xml:space="preserve">Sanacija industrijskih kolosijeka na lučkom području luke Vukovar podrazumijeva održavanje i sanaciju kolosijeka sukladno izvješću o izmjeri, vizualnom pregledu te preporukama neovisnog stručnjaka o potrebama za održavanjem industrijskih kolosijeka u ispravnom stanju sukladno važećoj regulativi koja definira održavanje industrijskih kolosijeka. Usluge redovite izmjere i vizualnog pregleda stanja, a sve sukladno propisima o sigurnosti industrijskih </w:t>
      </w:r>
      <w:r>
        <w:lastRenderedPageBreak/>
        <w:t xml:space="preserve">kolosijeka obavlja za to registrirana tvrtka. Za 2025. godinu predviđa se nastavak redovnog održavanja  industrijskih kolosijeka na području luke Vukovar na kojemu lučke djelatnosti obavlja koncesionar Luka Vukovar d.o.o. Isto tako s obzirom da je projekt „Modernizacije u elektrifikacije željezničke pruge Vinkovci – Vukovar“ u završnoj fazi, postojeći kolosijeci koji su jednim dijelom dosad bili na upravljanju HŽ Infrastrukture prijeći će na upravljanje Lučke uprave Vukovar pri čemu će se morati osigurati sredstva za njihovo kvalitetno održavanje.  </w:t>
      </w:r>
    </w:p>
    <w:p w14:paraId="0FA5824B" w14:textId="77777777" w:rsidR="000A2CAE" w:rsidRDefault="00B95D65">
      <w:r>
        <w:t xml:space="preserve">- Tehničko održavanje infrastrukture, postrojenja i opreme -  </w:t>
      </w:r>
    </w:p>
    <w:p w14:paraId="5B842AF2" w14:textId="543E5E46" w:rsidR="000A2CAE" w:rsidRDefault="00B95D65">
      <w:r>
        <w:t>U okviru tehničkog održavanja za 2025. godinu predviđeno je sljedeće: redovni godišnji pregled plutajućih objekata, redovna godišnja revizija elektropostrojenja, redovni radovi na održavanju sustava videonadzora u putničkim pristaništima, antikorozivna zaštita na putničkim pristaništima, limarski radovi, sitni elektro i bravarski radovi, hitne intervencije u luci Vukovar i u putničkim pristaništima, radovi uslijed izvanrednih događaja, redovno održavanje protupožarne opreme, radovi na redovnom održavanju kanalizacijskog sustava i sustava oborinske odvodnje te manji građevinski zahvati na sanaciji postojećih lučkih građevina. Planira se košnja travnatih površina na lučkom području, održavanje i čišćenje od naplavina komunalnog pristaništa Marina i putničkih pristaništa u Vukovaru, Iloku, Batini</w:t>
      </w:r>
      <w:r w:rsidR="0089338A">
        <w:t>, Nijemcima</w:t>
      </w:r>
      <w:r>
        <w:t xml:space="preserve"> i Aljmašu, građevinski radovi na sanaciji bitvi i druge aktivnosti prema ukazanoj potrebi.</w:t>
      </w:r>
    </w:p>
    <w:p w14:paraId="78706C7D" w14:textId="77777777" w:rsidR="000A2CAE" w:rsidRDefault="00B95D65">
      <w:pPr>
        <w:pStyle w:val="Heading8"/>
        <w:jc w:val="left"/>
      </w:pPr>
      <w:r>
        <w:t>Pokazatelji rezultata</w:t>
      </w:r>
    </w:p>
    <w:tbl>
      <w:tblPr>
        <w:tblStyle w:val="StilTablice"/>
        <w:tblW w:w="10206" w:type="dxa"/>
        <w:jc w:val="center"/>
        <w:tblLook w:val="04A0" w:firstRow="1" w:lastRow="0" w:firstColumn="1" w:lastColumn="0" w:noHBand="0" w:noVBand="1"/>
      </w:tblPr>
      <w:tblGrid>
        <w:gridCol w:w="1885"/>
        <w:gridCol w:w="1926"/>
        <w:gridCol w:w="1832"/>
        <w:gridCol w:w="917"/>
        <w:gridCol w:w="895"/>
        <w:gridCol w:w="917"/>
        <w:gridCol w:w="917"/>
        <w:gridCol w:w="917"/>
      </w:tblGrid>
      <w:tr w:rsidR="000A2CAE" w14:paraId="2B49732B" w14:textId="77777777">
        <w:trPr>
          <w:jc w:val="center"/>
        </w:trPr>
        <w:tc>
          <w:tcPr>
            <w:tcW w:w="2245" w:type="dxa"/>
            <w:shd w:val="clear" w:color="auto" w:fill="B5C0D8"/>
          </w:tcPr>
          <w:p w14:paraId="0BFEEACE" w14:textId="77777777" w:rsidR="000A2CAE" w:rsidRDefault="00B95D65">
            <w:r>
              <w:t>Pokazatelj rezultata</w:t>
            </w:r>
          </w:p>
        </w:tc>
        <w:tc>
          <w:tcPr>
            <w:tcW w:w="2245" w:type="dxa"/>
            <w:shd w:val="clear" w:color="auto" w:fill="B5C0D8"/>
          </w:tcPr>
          <w:p w14:paraId="4D8289D2" w14:textId="77777777" w:rsidR="000A2CAE" w:rsidRDefault="00B95D65">
            <w:pPr>
              <w:pStyle w:val="CellHeader"/>
            </w:pPr>
            <w:r>
              <w:rPr>
                <w:rFonts w:cs="Times New Roman"/>
              </w:rPr>
              <w:t>Definicija</w:t>
            </w:r>
          </w:p>
        </w:tc>
        <w:tc>
          <w:tcPr>
            <w:tcW w:w="2245" w:type="dxa"/>
            <w:shd w:val="clear" w:color="auto" w:fill="B5C0D8"/>
          </w:tcPr>
          <w:p w14:paraId="23EE24D8" w14:textId="77777777" w:rsidR="000A2CAE" w:rsidRDefault="00B95D65">
            <w:pPr>
              <w:pStyle w:val="CellHeader"/>
            </w:pPr>
            <w:r>
              <w:rPr>
                <w:rFonts w:cs="Times New Roman"/>
              </w:rPr>
              <w:t>Jedinica</w:t>
            </w:r>
          </w:p>
        </w:tc>
        <w:tc>
          <w:tcPr>
            <w:tcW w:w="918" w:type="dxa"/>
            <w:shd w:val="clear" w:color="auto" w:fill="B5C0D8"/>
          </w:tcPr>
          <w:p w14:paraId="020826FF" w14:textId="77777777" w:rsidR="000A2CAE" w:rsidRDefault="00B95D65">
            <w:pPr>
              <w:pStyle w:val="CellHeader"/>
            </w:pPr>
            <w:r>
              <w:rPr>
                <w:rFonts w:cs="Times New Roman"/>
              </w:rPr>
              <w:t>Polazna vrijednost</w:t>
            </w:r>
          </w:p>
        </w:tc>
        <w:tc>
          <w:tcPr>
            <w:tcW w:w="918" w:type="dxa"/>
            <w:shd w:val="clear" w:color="auto" w:fill="B5C0D8"/>
          </w:tcPr>
          <w:p w14:paraId="0DCCC4C7" w14:textId="77777777" w:rsidR="000A2CAE" w:rsidRDefault="00B95D65">
            <w:pPr>
              <w:pStyle w:val="CellHeader"/>
            </w:pPr>
            <w:r>
              <w:rPr>
                <w:rFonts w:cs="Times New Roman"/>
              </w:rPr>
              <w:t>Izvor podataka</w:t>
            </w:r>
          </w:p>
        </w:tc>
        <w:tc>
          <w:tcPr>
            <w:tcW w:w="918" w:type="dxa"/>
            <w:shd w:val="clear" w:color="auto" w:fill="B5C0D8"/>
          </w:tcPr>
          <w:p w14:paraId="03A5CC5B" w14:textId="77777777" w:rsidR="000A2CAE" w:rsidRDefault="00B95D65">
            <w:pPr>
              <w:pStyle w:val="CellHeader"/>
            </w:pPr>
            <w:r>
              <w:rPr>
                <w:rFonts w:cs="Times New Roman"/>
              </w:rPr>
              <w:t>Ciljana vrijednost (2025.)</w:t>
            </w:r>
          </w:p>
        </w:tc>
        <w:tc>
          <w:tcPr>
            <w:tcW w:w="918" w:type="dxa"/>
            <w:shd w:val="clear" w:color="auto" w:fill="B5C0D8"/>
          </w:tcPr>
          <w:p w14:paraId="0A9D832C" w14:textId="77777777" w:rsidR="000A2CAE" w:rsidRDefault="00B95D65">
            <w:pPr>
              <w:pStyle w:val="CellHeader"/>
            </w:pPr>
            <w:r>
              <w:rPr>
                <w:rFonts w:cs="Times New Roman"/>
              </w:rPr>
              <w:t>Ciljana vrijednost (2026.)</w:t>
            </w:r>
          </w:p>
        </w:tc>
        <w:tc>
          <w:tcPr>
            <w:tcW w:w="918" w:type="dxa"/>
            <w:shd w:val="clear" w:color="auto" w:fill="B5C0D8"/>
          </w:tcPr>
          <w:p w14:paraId="57BDE6BB" w14:textId="77777777" w:rsidR="000A2CAE" w:rsidRDefault="00B95D65">
            <w:pPr>
              <w:pStyle w:val="CellHeader"/>
            </w:pPr>
            <w:r>
              <w:rPr>
                <w:rFonts w:cs="Times New Roman"/>
              </w:rPr>
              <w:t>Ciljana vrijednost (2027.)</w:t>
            </w:r>
          </w:p>
        </w:tc>
      </w:tr>
      <w:tr w:rsidR="000A2CAE" w14:paraId="21FA0096" w14:textId="77777777">
        <w:trPr>
          <w:jc w:val="center"/>
        </w:trPr>
        <w:tc>
          <w:tcPr>
            <w:tcW w:w="2245" w:type="dxa"/>
          </w:tcPr>
          <w:p w14:paraId="3BD40D4A" w14:textId="77777777" w:rsidR="000A2CAE" w:rsidRDefault="00B95D65">
            <w:pPr>
              <w:pStyle w:val="CellColumn"/>
            </w:pPr>
            <w:r>
              <w:rPr>
                <w:rFonts w:cs="Times New Roman"/>
              </w:rPr>
              <w:t>Povećanje broja izgrađenih  pristaništa</w:t>
            </w:r>
          </w:p>
        </w:tc>
        <w:tc>
          <w:tcPr>
            <w:tcW w:w="2245" w:type="dxa"/>
          </w:tcPr>
          <w:p w14:paraId="510EB376" w14:textId="77777777" w:rsidR="000A2CAE" w:rsidRDefault="00B95D65">
            <w:pPr>
              <w:pStyle w:val="CellColumn"/>
            </w:pPr>
            <w:r>
              <w:rPr>
                <w:rFonts w:cs="Times New Roman"/>
              </w:rPr>
              <w:t>Izgradnja novih putničkih pristaništa i riječnih marina u Vukovaru, Vinkovcima i Iloku</w:t>
            </w:r>
          </w:p>
        </w:tc>
        <w:tc>
          <w:tcPr>
            <w:tcW w:w="918" w:type="dxa"/>
          </w:tcPr>
          <w:p w14:paraId="3C079F11" w14:textId="77777777" w:rsidR="000A2CAE" w:rsidRDefault="00B95D65">
            <w:pPr>
              <w:pStyle w:val="CellColumn"/>
            </w:pPr>
            <w:r>
              <w:rPr>
                <w:rFonts w:cs="Times New Roman"/>
              </w:rPr>
              <w:t>broj</w:t>
            </w:r>
          </w:p>
        </w:tc>
        <w:tc>
          <w:tcPr>
            <w:tcW w:w="918" w:type="dxa"/>
          </w:tcPr>
          <w:p w14:paraId="0B6E29EB" w14:textId="77777777" w:rsidR="000A2CAE" w:rsidRDefault="00B95D65">
            <w:pPr>
              <w:pStyle w:val="CellColumn"/>
            </w:pPr>
            <w:r>
              <w:rPr>
                <w:rFonts w:cs="Times New Roman"/>
              </w:rPr>
              <w:t>8</w:t>
            </w:r>
          </w:p>
        </w:tc>
        <w:tc>
          <w:tcPr>
            <w:tcW w:w="918" w:type="dxa"/>
          </w:tcPr>
          <w:p w14:paraId="1C4ACE93" w14:textId="77777777" w:rsidR="000A2CAE" w:rsidRDefault="00B95D65">
            <w:pPr>
              <w:pStyle w:val="CellColumn"/>
            </w:pPr>
            <w:r>
              <w:rPr>
                <w:rFonts w:cs="Times New Roman"/>
              </w:rPr>
              <w:t>Lučka uprava Vukovar</w:t>
            </w:r>
          </w:p>
        </w:tc>
        <w:tc>
          <w:tcPr>
            <w:tcW w:w="918" w:type="dxa"/>
          </w:tcPr>
          <w:p w14:paraId="7CE3ABB3" w14:textId="77777777" w:rsidR="000A2CAE" w:rsidRDefault="00B95D65">
            <w:pPr>
              <w:pStyle w:val="CellColumn"/>
            </w:pPr>
            <w:r>
              <w:rPr>
                <w:rFonts w:cs="Times New Roman"/>
              </w:rPr>
              <w:t>9</w:t>
            </w:r>
          </w:p>
        </w:tc>
        <w:tc>
          <w:tcPr>
            <w:tcW w:w="918" w:type="dxa"/>
          </w:tcPr>
          <w:p w14:paraId="453EEB1D" w14:textId="77777777" w:rsidR="000A2CAE" w:rsidRDefault="00B95D65">
            <w:pPr>
              <w:pStyle w:val="CellColumn"/>
            </w:pPr>
            <w:r>
              <w:rPr>
                <w:rFonts w:cs="Times New Roman"/>
              </w:rPr>
              <w:t>11</w:t>
            </w:r>
          </w:p>
        </w:tc>
        <w:tc>
          <w:tcPr>
            <w:tcW w:w="918" w:type="dxa"/>
          </w:tcPr>
          <w:p w14:paraId="19CE7F65" w14:textId="77777777" w:rsidR="000A2CAE" w:rsidRDefault="00B95D65">
            <w:pPr>
              <w:pStyle w:val="CellColumn"/>
            </w:pPr>
            <w:r>
              <w:rPr>
                <w:rFonts w:cs="Times New Roman"/>
              </w:rPr>
              <w:t>13</w:t>
            </w:r>
          </w:p>
        </w:tc>
      </w:tr>
    </w:tbl>
    <w:p w14:paraId="5E1C55E2" w14:textId="77777777" w:rsidR="007308F5" w:rsidRDefault="007308F5">
      <w:pPr>
        <w:jc w:val="left"/>
      </w:pPr>
    </w:p>
    <w:p w14:paraId="2500657A" w14:textId="77777777" w:rsidR="007308F5" w:rsidRDefault="007308F5">
      <w:pPr>
        <w:pStyle w:val="Heading4"/>
      </w:pPr>
    </w:p>
    <w:p w14:paraId="735DE1CF" w14:textId="1B41AF6C" w:rsidR="000A2CAE" w:rsidRDefault="00B95D65">
      <w:pPr>
        <w:pStyle w:val="Heading4"/>
      </w:pPr>
      <w:r>
        <w:t>K930004 CEF 2014-2020 - PRIPREMA FAIRWAY 2 RADOVA NA KORIDORU RAJNA-DUNAV - PRIVEZIŠTA</w:t>
      </w:r>
    </w:p>
    <w:p w14:paraId="73ACB583" w14:textId="77777777" w:rsidR="000A2CAE" w:rsidRDefault="00B95D65">
      <w:pPr>
        <w:pStyle w:val="Heading8"/>
        <w:jc w:val="left"/>
      </w:pPr>
      <w:r>
        <w:t>Zakonske i druge pravne osnove</w:t>
      </w:r>
    </w:p>
    <w:p w14:paraId="43BC5169" w14:textId="77777777" w:rsidR="000A2CAE" w:rsidRDefault="00B95D65" w:rsidP="007308F5">
      <w:pPr>
        <w:pStyle w:val="Normal5"/>
        <w:ind w:left="0"/>
      </w:pPr>
      <w:r>
        <w:t xml:space="preserve">- Zakon o plovidbi i lukama unutarnjih voda  </w:t>
      </w:r>
    </w:p>
    <w:p w14:paraId="2A8BF580" w14:textId="77777777" w:rsidR="000A2CAE" w:rsidRDefault="00B95D65" w:rsidP="007308F5">
      <w:pPr>
        <w:pStyle w:val="Normal5"/>
        <w:ind w:left="0"/>
      </w:pPr>
      <w:r>
        <w:t xml:space="preserve">- Uredba o pristaništima unutarnjih voda  </w:t>
      </w:r>
    </w:p>
    <w:p w14:paraId="5655E67F" w14:textId="77777777" w:rsidR="000A2CAE" w:rsidRDefault="00B95D65" w:rsidP="007308F5">
      <w:pPr>
        <w:pStyle w:val="Normal5"/>
        <w:ind w:left="0"/>
      </w:pPr>
      <w:r>
        <w:t xml:space="preserve">- Strategija prometnog razvoja Republike Hrvatske 2017. – 2030., točke 2.7, 4.2.6 i 5.6.   </w:t>
      </w:r>
    </w:p>
    <w:p w14:paraId="342B1E1D" w14:textId="79518D44" w:rsidR="007308F5" w:rsidRDefault="00B95D65" w:rsidP="00994455">
      <w:pPr>
        <w:pStyle w:val="Normal5"/>
        <w:ind w:left="0"/>
      </w:pPr>
      <w:r>
        <w:t>- Ugovor o bespovratnim sredstvima No INEA/CEF/TRAN/M2019/2113451</w:t>
      </w:r>
    </w:p>
    <w:p w14:paraId="29DB3727" w14:textId="77777777" w:rsidR="007308F5" w:rsidRDefault="007308F5" w:rsidP="0089338A">
      <w:pPr>
        <w:pStyle w:val="Normal5"/>
        <w:ind w:left="0"/>
      </w:pPr>
    </w:p>
    <w:tbl>
      <w:tblPr>
        <w:tblStyle w:val="StilTablice"/>
        <w:tblW w:w="10206" w:type="dxa"/>
        <w:jc w:val="center"/>
        <w:tblLook w:val="04A0" w:firstRow="1" w:lastRow="0" w:firstColumn="1" w:lastColumn="0" w:noHBand="0" w:noVBand="1"/>
      </w:tblPr>
      <w:tblGrid>
        <w:gridCol w:w="1507"/>
        <w:gridCol w:w="1564"/>
        <w:gridCol w:w="1548"/>
        <w:gridCol w:w="1539"/>
        <w:gridCol w:w="1539"/>
        <w:gridCol w:w="1539"/>
        <w:gridCol w:w="970"/>
      </w:tblGrid>
      <w:tr w:rsidR="000A2CAE" w14:paraId="69B0B4C9" w14:textId="77777777">
        <w:trPr>
          <w:jc w:val="center"/>
        </w:trPr>
        <w:tc>
          <w:tcPr>
            <w:tcW w:w="1530" w:type="dxa"/>
            <w:shd w:val="clear" w:color="auto" w:fill="B5C0D8"/>
          </w:tcPr>
          <w:p w14:paraId="0149C607" w14:textId="77777777" w:rsidR="000A2CAE" w:rsidRDefault="00B95D65">
            <w:pPr>
              <w:pStyle w:val="CellHeader"/>
            </w:pPr>
            <w:r>
              <w:rPr>
                <w:rFonts w:cs="Times New Roman"/>
              </w:rPr>
              <w:t>Naziv aktivnosti</w:t>
            </w:r>
          </w:p>
        </w:tc>
        <w:tc>
          <w:tcPr>
            <w:tcW w:w="1632" w:type="dxa"/>
            <w:shd w:val="clear" w:color="auto" w:fill="B5C0D8"/>
          </w:tcPr>
          <w:p w14:paraId="063EB404" w14:textId="77777777" w:rsidR="000A2CAE" w:rsidRDefault="00B95D65">
            <w:pPr>
              <w:pStyle w:val="CellHeader"/>
            </w:pPr>
            <w:r>
              <w:rPr>
                <w:rFonts w:cs="Times New Roman"/>
              </w:rPr>
              <w:t>Izvršenje 2023. (eur)</w:t>
            </w:r>
          </w:p>
        </w:tc>
        <w:tc>
          <w:tcPr>
            <w:tcW w:w="1632" w:type="dxa"/>
            <w:shd w:val="clear" w:color="auto" w:fill="B5C0D8"/>
          </w:tcPr>
          <w:p w14:paraId="2E8CBD25" w14:textId="77777777" w:rsidR="000A2CAE" w:rsidRDefault="00B95D65">
            <w:pPr>
              <w:pStyle w:val="CellHeader"/>
            </w:pPr>
            <w:r>
              <w:rPr>
                <w:rFonts w:cs="Times New Roman"/>
              </w:rPr>
              <w:t>Plan 2024. (eur)</w:t>
            </w:r>
          </w:p>
        </w:tc>
        <w:tc>
          <w:tcPr>
            <w:tcW w:w="1632" w:type="dxa"/>
            <w:shd w:val="clear" w:color="auto" w:fill="B5C0D8"/>
          </w:tcPr>
          <w:p w14:paraId="6841028C" w14:textId="77777777" w:rsidR="000A2CAE" w:rsidRDefault="00B95D65">
            <w:pPr>
              <w:pStyle w:val="CellHeader"/>
            </w:pPr>
            <w:r>
              <w:rPr>
                <w:rFonts w:cs="Times New Roman"/>
              </w:rPr>
              <w:t>Plan 2025. (eur)</w:t>
            </w:r>
          </w:p>
        </w:tc>
        <w:tc>
          <w:tcPr>
            <w:tcW w:w="1632" w:type="dxa"/>
            <w:shd w:val="clear" w:color="auto" w:fill="B5C0D8"/>
          </w:tcPr>
          <w:p w14:paraId="210BA810" w14:textId="77777777" w:rsidR="000A2CAE" w:rsidRDefault="00B95D65">
            <w:pPr>
              <w:pStyle w:val="CellHeader"/>
            </w:pPr>
            <w:r>
              <w:rPr>
                <w:rFonts w:cs="Times New Roman"/>
              </w:rPr>
              <w:t>Plan 2026. (eur)</w:t>
            </w:r>
          </w:p>
        </w:tc>
        <w:tc>
          <w:tcPr>
            <w:tcW w:w="1632" w:type="dxa"/>
            <w:shd w:val="clear" w:color="auto" w:fill="B5C0D8"/>
          </w:tcPr>
          <w:p w14:paraId="573B3EE2" w14:textId="77777777" w:rsidR="000A2CAE" w:rsidRDefault="00B95D65">
            <w:pPr>
              <w:pStyle w:val="CellHeader"/>
            </w:pPr>
            <w:r>
              <w:rPr>
                <w:rFonts w:cs="Times New Roman"/>
              </w:rPr>
              <w:t>Plan 2027. (eur)</w:t>
            </w:r>
          </w:p>
        </w:tc>
        <w:tc>
          <w:tcPr>
            <w:tcW w:w="510" w:type="dxa"/>
            <w:shd w:val="clear" w:color="auto" w:fill="B5C0D8"/>
          </w:tcPr>
          <w:p w14:paraId="16E85279" w14:textId="77777777" w:rsidR="000A2CAE" w:rsidRDefault="00B95D65">
            <w:pPr>
              <w:pStyle w:val="CellHeader"/>
            </w:pPr>
            <w:r>
              <w:rPr>
                <w:rFonts w:cs="Times New Roman"/>
              </w:rPr>
              <w:t>Indeks 2025/2024</w:t>
            </w:r>
          </w:p>
        </w:tc>
      </w:tr>
      <w:tr w:rsidR="000A2CAE" w14:paraId="6AA7859D" w14:textId="77777777">
        <w:trPr>
          <w:jc w:val="center"/>
        </w:trPr>
        <w:tc>
          <w:tcPr>
            <w:tcW w:w="1530" w:type="dxa"/>
          </w:tcPr>
          <w:p w14:paraId="3B147224" w14:textId="77777777" w:rsidR="000A2CAE" w:rsidRDefault="00B95D65">
            <w:pPr>
              <w:pStyle w:val="CellColumn"/>
            </w:pPr>
            <w:r>
              <w:rPr>
                <w:rFonts w:cs="Times New Roman"/>
              </w:rPr>
              <w:t>K930004-CEF 2014-2020 - PRIPREMA FAIRWAY 2 RADOVA NA KORIDORU RAJNA-DUNAV - PRIVEZIŠTA</w:t>
            </w:r>
          </w:p>
        </w:tc>
        <w:tc>
          <w:tcPr>
            <w:tcW w:w="1632" w:type="dxa"/>
          </w:tcPr>
          <w:p w14:paraId="1A6B90DE" w14:textId="460FEA8D" w:rsidR="000A2CAE" w:rsidRDefault="008C5C3B">
            <w:pPr>
              <w:pStyle w:val="CellColumn"/>
            </w:pPr>
            <w:r>
              <w:rPr>
                <w:rFonts w:cs="Times New Roman"/>
              </w:rPr>
              <w:t>63.697</w:t>
            </w:r>
          </w:p>
        </w:tc>
        <w:tc>
          <w:tcPr>
            <w:tcW w:w="1632" w:type="dxa"/>
          </w:tcPr>
          <w:p w14:paraId="2BA15A8F" w14:textId="77777777" w:rsidR="000A2CAE" w:rsidRDefault="00B95D65">
            <w:pPr>
              <w:pStyle w:val="CellColumn"/>
            </w:pPr>
            <w:r>
              <w:rPr>
                <w:rFonts w:cs="Times New Roman"/>
              </w:rPr>
              <w:t>23.300</w:t>
            </w:r>
          </w:p>
        </w:tc>
        <w:tc>
          <w:tcPr>
            <w:tcW w:w="1632" w:type="dxa"/>
          </w:tcPr>
          <w:p w14:paraId="681BE57B" w14:textId="77777777" w:rsidR="000A2CAE" w:rsidRDefault="00B95D65">
            <w:pPr>
              <w:pStyle w:val="CellColumn"/>
            </w:pPr>
            <w:r>
              <w:rPr>
                <w:rFonts w:cs="Times New Roman"/>
              </w:rPr>
              <w:t>620</w:t>
            </w:r>
          </w:p>
        </w:tc>
        <w:tc>
          <w:tcPr>
            <w:tcW w:w="1632" w:type="dxa"/>
          </w:tcPr>
          <w:p w14:paraId="113F8F1B" w14:textId="77777777" w:rsidR="000A2CAE" w:rsidRDefault="00B95D65">
            <w:pPr>
              <w:pStyle w:val="CellColumn"/>
            </w:pPr>
            <w:r>
              <w:rPr>
                <w:rFonts w:cs="Times New Roman"/>
              </w:rPr>
              <w:t>00</w:t>
            </w:r>
          </w:p>
        </w:tc>
        <w:tc>
          <w:tcPr>
            <w:tcW w:w="1632" w:type="dxa"/>
          </w:tcPr>
          <w:p w14:paraId="4E61B61B" w14:textId="77777777" w:rsidR="000A2CAE" w:rsidRDefault="00B95D65">
            <w:pPr>
              <w:pStyle w:val="CellColumn"/>
            </w:pPr>
            <w:r>
              <w:rPr>
                <w:rFonts w:cs="Times New Roman"/>
              </w:rPr>
              <w:t>00</w:t>
            </w:r>
          </w:p>
        </w:tc>
        <w:tc>
          <w:tcPr>
            <w:tcW w:w="510" w:type="dxa"/>
          </w:tcPr>
          <w:p w14:paraId="15940599" w14:textId="77777777" w:rsidR="000A2CAE" w:rsidRDefault="00B95D65">
            <w:pPr>
              <w:pStyle w:val="CellColumn"/>
            </w:pPr>
            <w:r>
              <w:rPr>
                <w:rFonts w:cs="Times New Roman"/>
              </w:rPr>
              <w:t>2,7</w:t>
            </w:r>
          </w:p>
        </w:tc>
      </w:tr>
    </w:tbl>
    <w:p w14:paraId="37BDB95E" w14:textId="77777777" w:rsidR="000A2CAE" w:rsidRDefault="000A2CAE">
      <w:pPr>
        <w:jc w:val="left"/>
      </w:pPr>
    </w:p>
    <w:p w14:paraId="047D231E" w14:textId="77777777" w:rsidR="000A2CAE" w:rsidRDefault="00B95D65">
      <w:r>
        <w:t xml:space="preserve">U skladu s člankom 15. Uredbe EU br. 1315/2013, ovaj projekt, u okviru Globalnog projekta za osiguravanje i održavanje dobrog stanja plovidbe duž koridora osnovne mreže Rajna-Dunav, ima za cilj uklanjanje postojećih uskih grla koja ometaju plovidbu duž dijela Dunava i Save. Globalni projekt uključuje dvije udružene akcije: 2019EU-TM-0262-S i 2019-HR-TM-0263-S. Obje će se akcije provoditi prateći rezultate akcija koje financira CEF FAIRway </w:t>
      </w:r>
      <w:r>
        <w:lastRenderedPageBreak/>
        <w:t xml:space="preserve">Dunav (2014-EU-TM-0219-S i 2019-EU-TMC-0231-S) i biti će usmjerene na ubrzanje budućih radova na unapređenju infrastrukture duž Dunava i Save.   </w:t>
      </w:r>
    </w:p>
    <w:p w14:paraId="4FB8F2D1" w14:textId="77777777" w:rsidR="000A2CAE" w:rsidRDefault="00B95D65">
      <w:r>
        <w:t xml:space="preserve">Sveukupno, projekt će težiti postizanju sljedećih rezultata:   </w:t>
      </w:r>
    </w:p>
    <w:p w14:paraId="05480941" w14:textId="77777777" w:rsidR="000A2CAE" w:rsidRDefault="00B95D65">
      <w:r>
        <w:t xml:space="preserve">- Izrada popisa navigacijskih i okolišnih karakteristika zajedničkog hrvatsko-srpskog dijela Dunava  </w:t>
      </w:r>
    </w:p>
    <w:p w14:paraId="3797C779" w14:textId="77777777" w:rsidR="000A2CAE" w:rsidRDefault="00B95D65">
      <w:r>
        <w:t xml:space="preserve">- Izrada i isporuka projektnog zadatka za funkcionalne nadogradnje transnacionalnog sustava praćenja plovnih putova (WAMOS),   </w:t>
      </w:r>
    </w:p>
    <w:p w14:paraId="54CC4406" w14:textId="77777777" w:rsidR="000A2CAE" w:rsidRDefault="00B95D65">
      <w:r>
        <w:t xml:space="preserve">- Definiranje koncepta suradnje i koordinacije dionika duž austrijskog, hrvatskog i srpskog dijela Dunava,   </w:t>
      </w:r>
    </w:p>
    <w:p w14:paraId="3B5A7691" w14:textId="77777777" w:rsidR="000A2CAE" w:rsidRDefault="00B95D65">
      <w:r>
        <w:t xml:space="preserve">- Izrada i isporuka studije za Austriju, Hrvatsku i Srbiju kojom će se procijeniti potrebe za nadogradnjom /izgradnjom   </w:t>
      </w:r>
    </w:p>
    <w:p w14:paraId="05966616" w14:textId="73D204D8" w:rsidR="000A2CAE" w:rsidRDefault="00B95D65">
      <w:r>
        <w:t xml:space="preserve">privezišta duž dionica Dunava i Save na kojima se nalaze ove akcije.   </w:t>
      </w:r>
    </w:p>
    <w:p w14:paraId="75D70E97" w14:textId="77777777" w:rsidR="000A2CAE" w:rsidRDefault="00B95D65">
      <w:r>
        <w:t>U provedbi projekta, Lučka uprava Vukovar aktivno je sudjelovala u aktivnosti 1- Upravljanje projektom i aktivnosti 6 Priprema procjene, analiza zahtjeva i dokumentacija za privezišta. Aktivnost 6 podrazumijeva provedbu detaljne procjene trenutnog stanja upotreba i statusa privezišta u Hrvatskoj, kao i slične infrastrukture koja se koristi u svrhu privezišta. Provedba svih planiranih aktivnosti ovoga projekta završava 31.12.2024. godine kada završava i programsko razdoblje za CEF 2014-2020. Kako se trošak osoblja iskazuje kroz angažman djelatnika u postotku od bruto plaće, planirana sredstva u 2025. godini isključivo se odnose na trošak osoblja za mjesec prosinac 2024. godine.</w:t>
      </w:r>
    </w:p>
    <w:p w14:paraId="5657A453" w14:textId="77777777" w:rsidR="000A2CAE" w:rsidRDefault="00B95D65">
      <w:pPr>
        <w:pStyle w:val="Heading8"/>
        <w:jc w:val="left"/>
      </w:pPr>
      <w:r>
        <w:t>Pokazatelji rezultata</w:t>
      </w:r>
    </w:p>
    <w:tbl>
      <w:tblPr>
        <w:tblStyle w:val="StilTablice"/>
        <w:tblW w:w="10206" w:type="dxa"/>
        <w:jc w:val="center"/>
        <w:tblLook w:val="04A0" w:firstRow="1" w:lastRow="0" w:firstColumn="1" w:lastColumn="0" w:noHBand="0" w:noVBand="1"/>
      </w:tblPr>
      <w:tblGrid>
        <w:gridCol w:w="1924"/>
        <w:gridCol w:w="1974"/>
        <w:gridCol w:w="1750"/>
        <w:gridCol w:w="917"/>
        <w:gridCol w:w="890"/>
        <w:gridCol w:w="917"/>
        <w:gridCol w:w="917"/>
        <w:gridCol w:w="917"/>
      </w:tblGrid>
      <w:tr w:rsidR="000A2CAE" w14:paraId="7F3FD5F1" w14:textId="77777777">
        <w:trPr>
          <w:jc w:val="center"/>
        </w:trPr>
        <w:tc>
          <w:tcPr>
            <w:tcW w:w="2245" w:type="dxa"/>
            <w:shd w:val="clear" w:color="auto" w:fill="B5C0D8"/>
          </w:tcPr>
          <w:p w14:paraId="7B47EC86" w14:textId="77777777" w:rsidR="000A2CAE" w:rsidRDefault="00B95D65">
            <w:r>
              <w:t>Pokazatelj rezultata</w:t>
            </w:r>
          </w:p>
        </w:tc>
        <w:tc>
          <w:tcPr>
            <w:tcW w:w="2245" w:type="dxa"/>
            <w:shd w:val="clear" w:color="auto" w:fill="B5C0D8"/>
          </w:tcPr>
          <w:p w14:paraId="1149D1DC" w14:textId="77777777" w:rsidR="000A2CAE" w:rsidRDefault="00B95D65">
            <w:pPr>
              <w:pStyle w:val="CellHeader"/>
            </w:pPr>
            <w:r>
              <w:rPr>
                <w:rFonts w:cs="Times New Roman"/>
              </w:rPr>
              <w:t>Definicija</w:t>
            </w:r>
          </w:p>
        </w:tc>
        <w:tc>
          <w:tcPr>
            <w:tcW w:w="2245" w:type="dxa"/>
            <w:shd w:val="clear" w:color="auto" w:fill="B5C0D8"/>
          </w:tcPr>
          <w:p w14:paraId="58049E17" w14:textId="77777777" w:rsidR="000A2CAE" w:rsidRDefault="00B95D65">
            <w:pPr>
              <w:pStyle w:val="CellHeader"/>
            </w:pPr>
            <w:r>
              <w:rPr>
                <w:rFonts w:cs="Times New Roman"/>
              </w:rPr>
              <w:t>Jedinica</w:t>
            </w:r>
          </w:p>
        </w:tc>
        <w:tc>
          <w:tcPr>
            <w:tcW w:w="918" w:type="dxa"/>
            <w:shd w:val="clear" w:color="auto" w:fill="B5C0D8"/>
          </w:tcPr>
          <w:p w14:paraId="4431C8E6" w14:textId="77777777" w:rsidR="000A2CAE" w:rsidRDefault="00B95D65">
            <w:pPr>
              <w:pStyle w:val="CellHeader"/>
            </w:pPr>
            <w:r>
              <w:rPr>
                <w:rFonts w:cs="Times New Roman"/>
              </w:rPr>
              <w:t>Polazna vrijednost</w:t>
            </w:r>
          </w:p>
        </w:tc>
        <w:tc>
          <w:tcPr>
            <w:tcW w:w="918" w:type="dxa"/>
            <w:shd w:val="clear" w:color="auto" w:fill="B5C0D8"/>
          </w:tcPr>
          <w:p w14:paraId="44F4F2A6" w14:textId="77777777" w:rsidR="000A2CAE" w:rsidRDefault="00B95D65">
            <w:pPr>
              <w:pStyle w:val="CellHeader"/>
            </w:pPr>
            <w:r>
              <w:rPr>
                <w:rFonts w:cs="Times New Roman"/>
              </w:rPr>
              <w:t>Izvor podataka</w:t>
            </w:r>
          </w:p>
        </w:tc>
        <w:tc>
          <w:tcPr>
            <w:tcW w:w="918" w:type="dxa"/>
            <w:shd w:val="clear" w:color="auto" w:fill="B5C0D8"/>
          </w:tcPr>
          <w:p w14:paraId="040DB502" w14:textId="77777777" w:rsidR="000A2CAE" w:rsidRDefault="00B95D65">
            <w:pPr>
              <w:pStyle w:val="CellHeader"/>
            </w:pPr>
            <w:r>
              <w:rPr>
                <w:rFonts w:cs="Times New Roman"/>
              </w:rPr>
              <w:t>Ciljana vrijednost (2025.)</w:t>
            </w:r>
          </w:p>
        </w:tc>
        <w:tc>
          <w:tcPr>
            <w:tcW w:w="918" w:type="dxa"/>
            <w:shd w:val="clear" w:color="auto" w:fill="B5C0D8"/>
          </w:tcPr>
          <w:p w14:paraId="1CE5B404" w14:textId="77777777" w:rsidR="000A2CAE" w:rsidRDefault="00B95D65">
            <w:pPr>
              <w:pStyle w:val="CellHeader"/>
            </w:pPr>
            <w:r>
              <w:rPr>
                <w:rFonts w:cs="Times New Roman"/>
              </w:rPr>
              <w:t>Ciljana vrijednost (2026.)</w:t>
            </w:r>
          </w:p>
        </w:tc>
        <w:tc>
          <w:tcPr>
            <w:tcW w:w="918" w:type="dxa"/>
            <w:shd w:val="clear" w:color="auto" w:fill="B5C0D8"/>
          </w:tcPr>
          <w:p w14:paraId="3337D053" w14:textId="77777777" w:rsidR="000A2CAE" w:rsidRDefault="00B95D65">
            <w:pPr>
              <w:pStyle w:val="CellHeader"/>
            </w:pPr>
            <w:r>
              <w:rPr>
                <w:rFonts w:cs="Times New Roman"/>
              </w:rPr>
              <w:t>Ciljana vrijednost (2027.)</w:t>
            </w:r>
          </w:p>
        </w:tc>
      </w:tr>
      <w:tr w:rsidR="000A2CAE" w14:paraId="020DDDEC" w14:textId="77777777">
        <w:trPr>
          <w:jc w:val="center"/>
        </w:trPr>
        <w:tc>
          <w:tcPr>
            <w:tcW w:w="2245" w:type="dxa"/>
          </w:tcPr>
          <w:p w14:paraId="4EFF7DEE" w14:textId="77777777" w:rsidR="000A2CAE" w:rsidRDefault="00B95D65">
            <w:pPr>
              <w:pStyle w:val="CellColumn"/>
            </w:pPr>
            <w:r>
              <w:rPr>
                <w:rFonts w:cs="Times New Roman"/>
              </w:rPr>
              <w:t>Stupanj dovršenosti projektne dokumentacije</w:t>
            </w:r>
          </w:p>
        </w:tc>
        <w:tc>
          <w:tcPr>
            <w:tcW w:w="2245" w:type="dxa"/>
          </w:tcPr>
          <w:p w14:paraId="3A8EE535" w14:textId="77777777" w:rsidR="000A2CAE" w:rsidRDefault="00B95D65">
            <w:pPr>
              <w:pStyle w:val="CellColumn"/>
            </w:pPr>
            <w:r>
              <w:rPr>
                <w:rFonts w:cs="Times New Roman"/>
              </w:rPr>
              <w:t>Pripremom projektne dokumentacije za radove na koridoru Rajna -DunavPrivezišta stvara se preduvjet za procjenu potrebe izgradnje privezišta duž hrvatske dionice Dunava i Save</w:t>
            </w:r>
          </w:p>
        </w:tc>
        <w:tc>
          <w:tcPr>
            <w:tcW w:w="918" w:type="dxa"/>
          </w:tcPr>
          <w:p w14:paraId="16FC029D" w14:textId="77777777" w:rsidR="000A2CAE" w:rsidRDefault="00B95D65">
            <w:pPr>
              <w:pStyle w:val="CellColumn"/>
            </w:pPr>
            <w:r>
              <w:rPr>
                <w:rFonts w:cs="Times New Roman"/>
              </w:rPr>
              <w:t>%</w:t>
            </w:r>
          </w:p>
        </w:tc>
        <w:tc>
          <w:tcPr>
            <w:tcW w:w="918" w:type="dxa"/>
          </w:tcPr>
          <w:p w14:paraId="5CFD0B23" w14:textId="77777777" w:rsidR="000A2CAE" w:rsidRDefault="00B95D65">
            <w:pPr>
              <w:pStyle w:val="CellColumn"/>
            </w:pPr>
            <w:r>
              <w:rPr>
                <w:rFonts w:cs="Times New Roman"/>
              </w:rPr>
              <w:t>98</w:t>
            </w:r>
          </w:p>
        </w:tc>
        <w:tc>
          <w:tcPr>
            <w:tcW w:w="918" w:type="dxa"/>
          </w:tcPr>
          <w:p w14:paraId="72A13034" w14:textId="77777777" w:rsidR="000A2CAE" w:rsidRDefault="00B95D65">
            <w:pPr>
              <w:pStyle w:val="CellColumn"/>
            </w:pPr>
            <w:r>
              <w:rPr>
                <w:rFonts w:cs="Times New Roman"/>
              </w:rPr>
              <w:t>Lučka uprava Vukovar</w:t>
            </w:r>
          </w:p>
        </w:tc>
        <w:tc>
          <w:tcPr>
            <w:tcW w:w="918" w:type="dxa"/>
          </w:tcPr>
          <w:p w14:paraId="2CC329B6" w14:textId="77777777" w:rsidR="000A2CAE" w:rsidRDefault="00B95D65">
            <w:pPr>
              <w:pStyle w:val="CellColumn"/>
            </w:pPr>
            <w:r>
              <w:rPr>
                <w:rFonts w:cs="Times New Roman"/>
              </w:rPr>
              <w:t>100</w:t>
            </w:r>
          </w:p>
        </w:tc>
        <w:tc>
          <w:tcPr>
            <w:tcW w:w="918" w:type="dxa"/>
          </w:tcPr>
          <w:p w14:paraId="5623F778" w14:textId="77777777" w:rsidR="000A2CAE" w:rsidRDefault="000A2CAE">
            <w:pPr>
              <w:jc w:val="left"/>
            </w:pPr>
          </w:p>
        </w:tc>
        <w:tc>
          <w:tcPr>
            <w:tcW w:w="918" w:type="dxa"/>
          </w:tcPr>
          <w:p w14:paraId="3CD993F4" w14:textId="77777777" w:rsidR="000A2CAE" w:rsidRDefault="000A2CAE">
            <w:pPr>
              <w:jc w:val="left"/>
            </w:pPr>
          </w:p>
        </w:tc>
      </w:tr>
    </w:tbl>
    <w:p w14:paraId="690757E3" w14:textId="77777777" w:rsidR="000A2CAE" w:rsidRDefault="000A2CAE">
      <w:pPr>
        <w:jc w:val="left"/>
      </w:pPr>
    </w:p>
    <w:p w14:paraId="305A97A1" w14:textId="77777777" w:rsidR="007308F5" w:rsidRDefault="007308F5">
      <w:pPr>
        <w:jc w:val="left"/>
      </w:pPr>
    </w:p>
    <w:p w14:paraId="59C37F4D" w14:textId="77777777" w:rsidR="000A2CAE" w:rsidRDefault="00B95D65">
      <w:pPr>
        <w:pStyle w:val="Heading4"/>
      </w:pPr>
      <w:r>
        <w:t>K930005 CEF - PRIPREMA PROJEKTNE DOKUMENTACIJE ZA IZGRADNJU VERTIKALNE OBALE U LUCI VUKOVAR</w:t>
      </w:r>
    </w:p>
    <w:p w14:paraId="3BF783AA" w14:textId="77777777" w:rsidR="000A2CAE" w:rsidRDefault="00B95D65">
      <w:pPr>
        <w:pStyle w:val="Heading8"/>
        <w:jc w:val="left"/>
      </w:pPr>
      <w:r>
        <w:t>Zakonske i druge pravne osnove</w:t>
      </w:r>
    </w:p>
    <w:p w14:paraId="2182F0AB" w14:textId="77777777" w:rsidR="000A2CAE" w:rsidRDefault="00B95D65" w:rsidP="007308F5">
      <w:pPr>
        <w:pStyle w:val="Normal5"/>
        <w:ind w:left="0"/>
      </w:pPr>
      <w:r>
        <w:t xml:space="preserve">- Zakon o plovidbi i lukama unutarnjih voda  </w:t>
      </w:r>
    </w:p>
    <w:p w14:paraId="375796C8" w14:textId="77777777" w:rsidR="000A2CAE" w:rsidRDefault="00B95D65" w:rsidP="007308F5">
      <w:pPr>
        <w:pStyle w:val="Normal5"/>
        <w:ind w:left="0"/>
      </w:pPr>
      <w:r>
        <w:t xml:space="preserve">- Uredba o određivanju lučkog područja luke Vukovar  </w:t>
      </w:r>
    </w:p>
    <w:p w14:paraId="36403526" w14:textId="77777777" w:rsidR="000A2CAE" w:rsidRDefault="00B95D65" w:rsidP="007308F5">
      <w:pPr>
        <w:pStyle w:val="Normal5"/>
        <w:ind w:left="0"/>
      </w:pPr>
      <w:r>
        <w:t xml:space="preserve">- Strategija prometnog razvoja Republike Hrvatske 2017.-2030., točka 2.7, 4.2.6 i 5.6.   </w:t>
      </w:r>
    </w:p>
    <w:p w14:paraId="5843B903" w14:textId="77777777" w:rsidR="000A2CAE" w:rsidRDefault="00B95D65" w:rsidP="007308F5">
      <w:pPr>
        <w:pStyle w:val="Normal5"/>
        <w:ind w:left="0"/>
      </w:pPr>
      <w:r>
        <w:t>- Ugovor o bespovratnim sredstvima sklopljen s INEA/CEF/TRAN/M2019/2114380</w:t>
      </w:r>
    </w:p>
    <w:tbl>
      <w:tblPr>
        <w:tblStyle w:val="StilTablice"/>
        <w:tblW w:w="10206" w:type="dxa"/>
        <w:jc w:val="center"/>
        <w:tblLook w:val="04A0" w:firstRow="1" w:lastRow="0" w:firstColumn="1" w:lastColumn="0" w:noHBand="0" w:noVBand="1"/>
      </w:tblPr>
      <w:tblGrid>
        <w:gridCol w:w="1803"/>
        <w:gridCol w:w="1515"/>
        <w:gridCol w:w="1502"/>
        <w:gridCol w:w="1472"/>
        <w:gridCol w:w="1472"/>
        <w:gridCol w:w="1472"/>
        <w:gridCol w:w="970"/>
      </w:tblGrid>
      <w:tr w:rsidR="000A2CAE" w14:paraId="56A38129" w14:textId="77777777">
        <w:trPr>
          <w:jc w:val="center"/>
        </w:trPr>
        <w:tc>
          <w:tcPr>
            <w:tcW w:w="1530" w:type="dxa"/>
            <w:shd w:val="clear" w:color="auto" w:fill="B5C0D8"/>
          </w:tcPr>
          <w:p w14:paraId="391D897F" w14:textId="77777777" w:rsidR="000A2CAE" w:rsidRDefault="00B95D65">
            <w:pPr>
              <w:pStyle w:val="CellHeader"/>
            </w:pPr>
            <w:r>
              <w:rPr>
                <w:rFonts w:cs="Times New Roman"/>
              </w:rPr>
              <w:t>Naziv aktivnosti</w:t>
            </w:r>
          </w:p>
        </w:tc>
        <w:tc>
          <w:tcPr>
            <w:tcW w:w="1632" w:type="dxa"/>
            <w:shd w:val="clear" w:color="auto" w:fill="B5C0D8"/>
          </w:tcPr>
          <w:p w14:paraId="3D30AC12" w14:textId="77777777" w:rsidR="000A2CAE" w:rsidRDefault="00B95D65">
            <w:pPr>
              <w:pStyle w:val="CellHeader"/>
            </w:pPr>
            <w:r>
              <w:rPr>
                <w:rFonts w:cs="Times New Roman"/>
              </w:rPr>
              <w:t>Izvršenje 2023. (eur)</w:t>
            </w:r>
          </w:p>
        </w:tc>
        <w:tc>
          <w:tcPr>
            <w:tcW w:w="1632" w:type="dxa"/>
            <w:shd w:val="clear" w:color="auto" w:fill="B5C0D8"/>
          </w:tcPr>
          <w:p w14:paraId="0F460DB4" w14:textId="77777777" w:rsidR="000A2CAE" w:rsidRDefault="00B95D65">
            <w:pPr>
              <w:pStyle w:val="CellHeader"/>
            </w:pPr>
            <w:r>
              <w:rPr>
                <w:rFonts w:cs="Times New Roman"/>
              </w:rPr>
              <w:t>Plan 2024. (eur)</w:t>
            </w:r>
          </w:p>
        </w:tc>
        <w:tc>
          <w:tcPr>
            <w:tcW w:w="1632" w:type="dxa"/>
            <w:shd w:val="clear" w:color="auto" w:fill="B5C0D8"/>
          </w:tcPr>
          <w:p w14:paraId="0D8859BB" w14:textId="77777777" w:rsidR="000A2CAE" w:rsidRDefault="00B95D65">
            <w:pPr>
              <w:pStyle w:val="CellHeader"/>
            </w:pPr>
            <w:r>
              <w:rPr>
                <w:rFonts w:cs="Times New Roman"/>
              </w:rPr>
              <w:t>Plan 2025. (eur)</w:t>
            </w:r>
          </w:p>
        </w:tc>
        <w:tc>
          <w:tcPr>
            <w:tcW w:w="1632" w:type="dxa"/>
            <w:shd w:val="clear" w:color="auto" w:fill="B5C0D8"/>
          </w:tcPr>
          <w:p w14:paraId="42E71C45" w14:textId="77777777" w:rsidR="000A2CAE" w:rsidRDefault="00B95D65">
            <w:pPr>
              <w:pStyle w:val="CellHeader"/>
            </w:pPr>
            <w:r>
              <w:rPr>
                <w:rFonts w:cs="Times New Roman"/>
              </w:rPr>
              <w:t>Plan 2026. (eur)</w:t>
            </w:r>
          </w:p>
        </w:tc>
        <w:tc>
          <w:tcPr>
            <w:tcW w:w="1632" w:type="dxa"/>
            <w:shd w:val="clear" w:color="auto" w:fill="B5C0D8"/>
          </w:tcPr>
          <w:p w14:paraId="37346BE4" w14:textId="77777777" w:rsidR="000A2CAE" w:rsidRDefault="00B95D65">
            <w:pPr>
              <w:pStyle w:val="CellHeader"/>
            </w:pPr>
            <w:r>
              <w:rPr>
                <w:rFonts w:cs="Times New Roman"/>
              </w:rPr>
              <w:t>Plan 2027. (eur)</w:t>
            </w:r>
          </w:p>
        </w:tc>
        <w:tc>
          <w:tcPr>
            <w:tcW w:w="510" w:type="dxa"/>
            <w:shd w:val="clear" w:color="auto" w:fill="B5C0D8"/>
          </w:tcPr>
          <w:p w14:paraId="711BE816" w14:textId="77777777" w:rsidR="000A2CAE" w:rsidRDefault="00B95D65">
            <w:pPr>
              <w:pStyle w:val="CellHeader"/>
            </w:pPr>
            <w:r>
              <w:rPr>
                <w:rFonts w:cs="Times New Roman"/>
              </w:rPr>
              <w:t>Indeks 2025/2024</w:t>
            </w:r>
          </w:p>
        </w:tc>
      </w:tr>
      <w:tr w:rsidR="000A2CAE" w14:paraId="1719DE71" w14:textId="77777777">
        <w:trPr>
          <w:jc w:val="center"/>
        </w:trPr>
        <w:tc>
          <w:tcPr>
            <w:tcW w:w="1530" w:type="dxa"/>
          </w:tcPr>
          <w:p w14:paraId="599EF4C2" w14:textId="77777777" w:rsidR="000A2CAE" w:rsidRDefault="00B95D65">
            <w:pPr>
              <w:pStyle w:val="CellColumn"/>
            </w:pPr>
            <w:r>
              <w:rPr>
                <w:rFonts w:cs="Times New Roman"/>
              </w:rPr>
              <w:t>K930005-CEF - PRIPREMA PROJEKTNE DOKUMENTACIJE ZA IZGRADNJU VERTIKALNE OBALE U LUCI VUKOVAR</w:t>
            </w:r>
          </w:p>
        </w:tc>
        <w:tc>
          <w:tcPr>
            <w:tcW w:w="1632" w:type="dxa"/>
          </w:tcPr>
          <w:p w14:paraId="4220A1C6" w14:textId="3C5EDDAF" w:rsidR="000A2CAE" w:rsidRDefault="00AC3361">
            <w:pPr>
              <w:pStyle w:val="CellColumn"/>
            </w:pPr>
            <w:r>
              <w:rPr>
                <w:rFonts w:cs="Times New Roman"/>
              </w:rPr>
              <w:t>170.073</w:t>
            </w:r>
          </w:p>
        </w:tc>
        <w:tc>
          <w:tcPr>
            <w:tcW w:w="1632" w:type="dxa"/>
          </w:tcPr>
          <w:p w14:paraId="78EB06F6" w14:textId="77777777" w:rsidR="000A2CAE" w:rsidRDefault="00B95D65">
            <w:pPr>
              <w:pStyle w:val="CellColumn"/>
            </w:pPr>
            <w:r>
              <w:rPr>
                <w:rFonts w:cs="Times New Roman"/>
              </w:rPr>
              <w:t>962.600</w:t>
            </w:r>
          </w:p>
        </w:tc>
        <w:tc>
          <w:tcPr>
            <w:tcW w:w="1632" w:type="dxa"/>
          </w:tcPr>
          <w:p w14:paraId="6B7709FE" w14:textId="77777777" w:rsidR="000A2CAE" w:rsidRDefault="00B95D65">
            <w:pPr>
              <w:pStyle w:val="CellColumn"/>
            </w:pPr>
            <w:r>
              <w:rPr>
                <w:rFonts w:cs="Times New Roman"/>
              </w:rPr>
              <w:t>3.500</w:t>
            </w:r>
          </w:p>
        </w:tc>
        <w:tc>
          <w:tcPr>
            <w:tcW w:w="1632" w:type="dxa"/>
          </w:tcPr>
          <w:p w14:paraId="50C75493" w14:textId="77777777" w:rsidR="000A2CAE" w:rsidRDefault="00B95D65">
            <w:pPr>
              <w:pStyle w:val="CellColumn"/>
            </w:pPr>
            <w:r>
              <w:rPr>
                <w:rFonts w:cs="Times New Roman"/>
              </w:rPr>
              <w:t>00</w:t>
            </w:r>
          </w:p>
        </w:tc>
        <w:tc>
          <w:tcPr>
            <w:tcW w:w="1632" w:type="dxa"/>
          </w:tcPr>
          <w:p w14:paraId="0A047C9F" w14:textId="77777777" w:rsidR="000A2CAE" w:rsidRDefault="00B95D65">
            <w:pPr>
              <w:pStyle w:val="CellColumn"/>
            </w:pPr>
            <w:r>
              <w:rPr>
                <w:rFonts w:cs="Times New Roman"/>
              </w:rPr>
              <w:t>00</w:t>
            </w:r>
          </w:p>
        </w:tc>
        <w:tc>
          <w:tcPr>
            <w:tcW w:w="510" w:type="dxa"/>
          </w:tcPr>
          <w:p w14:paraId="692DA4D8" w14:textId="77777777" w:rsidR="000A2CAE" w:rsidRDefault="00B95D65">
            <w:pPr>
              <w:pStyle w:val="CellColumn"/>
            </w:pPr>
            <w:r>
              <w:rPr>
                <w:rFonts w:cs="Times New Roman"/>
              </w:rPr>
              <w:t>0,4</w:t>
            </w:r>
          </w:p>
        </w:tc>
      </w:tr>
    </w:tbl>
    <w:p w14:paraId="56776513" w14:textId="77777777" w:rsidR="000A2CAE" w:rsidRDefault="000A2CAE">
      <w:pPr>
        <w:jc w:val="left"/>
      </w:pPr>
    </w:p>
    <w:p w14:paraId="288CC237" w14:textId="7293D379" w:rsidR="000A2CAE" w:rsidRDefault="00B95D65">
      <w:r>
        <w:t xml:space="preserve">Projekt pripreme projektne dokumentacije za izgradnju okomite obale u luci Vukovar je vrijedan 1,68 milijuna eura u kojem Lučka uprava Vukovar sudjeluje u izradi projektne dokumentaciju za izgradnju 300 metara nove okomite obale s pratećom infrastrukturom na dijelu na kojem obala nije izgrađena uključujući pripadajuće kolosijeke te spoj na postojeću željezničku i cestovnu infrastrukturu. Priprema projektne dokumentacije uključuje izradu Geodetskih i geomehaničkih podloga, Feasibility studije, Transportno tehnološkog elaborata, Idejnog projekta, Studije utjecaja na okoliš, Glavnog projekta te Izvedbenog projekta. Provedbom projekta bi se spriječilo štetno djelovanje visokih voda na lučkom području te bi se trenutno neiskorišteni prostor neposredno uz obalu stavio u funkciju luke, čime bi se povećao kapacitet i konkurentnost luke Vukovar.  </w:t>
      </w:r>
    </w:p>
    <w:p w14:paraId="3B037B7E" w14:textId="77777777" w:rsidR="000A2CAE" w:rsidRDefault="00B95D65">
      <w:r>
        <w:t>Provedba svih planiranih aktivnosti ovoga projekta završava 31.12.2024. godine kada završava i programsko razdoblje za CEF 2014-2020. Kako se trošak osoblja iskazuje kroz angažman djelatnika u postotku od bruto plaće, planirana sredstva u 2025. godini isključivo se odnose na trošak osoblja za mjesec prosinac 2024. godine.</w:t>
      </w:r>
    </w:p>
    <w:p w14:paraId="0FA55D81" w14:textId="77777777" w:rsidR="000A2CAE" w:rsidRDefault="00B95D65">
      <w:pPr>
        <w:pStyle w:val="Heading8"/>
        <w:jc w:val="left"/>
      </w:pPr>
      <w:r>
        <w:t>Pokazatelji rezultata</w:t>
      </w:r>
    </w:p>
    <w:tbl>
      <w:tblPr>
        <w:tblStyle w:val="StilTablice"/>
        <w:tblW w:w="10206" w:type="dxa"/>
        <w:jc w:val="center"/>
        <w:tblLook w:val="04A0" w:firstRow="1" w:lastRow="0" w:firstColumn="1" w:lastColumn="0" w:noHBand="0" w:noVBand="1"/>
      </w:tblPr>
      <w:tblGrid>
        <w:gridCol w:w="1936"/>
        <w:gridCol w:w="1943"/>
        <w:gridCol w:w="1768"/>
        <w:gridCol w:w="917"/>
        <w:gridCol w:w="891"/>
        <w:gridCol w:w="917"/>
        <w:gridCol w:w="917"/>
        <w:gridCol w:w="917"/>
      </w:tblGrid>
      <w:tr w:rsidR="000A2CAE" w14:paraId="4DD5170C" w14:textId="77777777">
        <w:trPr>
          <w:jc w:val="center"/>
        </w:trPr>
        <w:tc>
          <w:tcPr>
            <w:tcW w:w="2245" w:type="dxa"/>
            <w:shd w:val="clear" w:color="auto" w:fill="B5C0D8"/>
          </w:tcPr>
          <w:p w14:paraId="5600D157" w14:textId="77777777" w:rsidR="000A2CAE" w:rsidRDefault="00B95D65">
            <w:r>
              <w:t>Pokazatelj rezultata</w:t>
            </w:r>
          </w:p>
        </w:tc>
        <w:tc>
          <w:tcPr>
            <w:tcW w:w="2245" w:type="dxa"/>
            <w:shd w:val="clear" w:color="auto" w:fill="B5C0D8"/>
          </w:tcPr>
          <w:p w14:paraId="786BC846" w14:textId="77777777" w:rsidR="000A2CAE" w:rsidRDefault="00B95D65">
            <w:pPr>
              <w:pStyle w:val="CellHeader"/>
            </w:pPr>
            <w:r>
              <w:rPr>
                <w:rFonts w:cs="Times New Roman"/>
              </w:rPr>
              <w:t>Definicija</w:t>
            </w:r>
          </w:p>
        </w:tc>
        <w:tc>
          <w:tcPr>
            <w:tcW w:w="2245" w:type="dxa"/>
            <w:shd w:val="clear" w:color="auto" w:fill="B5C0D8"/>
          </w:tcPr>
          <w:p w14:paraId="59EF252E" w14:textId="77777777" w:rsidR="000A2CAE" w:rsidRDefault="00B95D65">
            <w:pPr>
              <w:pStyle w:val="CellHeader"/>
            </w:pPr>
            <w:r>
              <w:rPr>
                <w:rFonts w:cs="Times New Roman"/>
              </w:rPr>
              <w:t>Jedinica</w:t>
            </w:r>
          </w:p>
        </w:tc>
        <w:tc>
          <w:tcPr>
            <w:tcW w:w="918" w:type="dxa"/>
            <w:shd w:val="clear" w:color="auto" w:fill="B5C0D8"/>
          </w:tcPr>
          <w:p w14:paraId="46724A60" w14:textId="77777777" w:rsidR="000A2CAE" w:rsidRDefault="00B95D65">
            <w:pPr>
              <w:pStyle w:val="CellHeader"/>
            </w:pPr>
            <w:r>
              <w:rPr>
                <w:rFonts w:cs="Times New Roman"/>
              </w:rPr>
              <w:t>Polazna vrijednost</w:t>
            </w:r>
          </w:p>
        </w:tc>
        <w:tc>
          <w:tcPr>
            <w:tcW w:w="918" w:type="dxa"/>
            <w:shd w:val="clear" w:color="auto" w:fill="B5C0D8"/>
          </w:tcPr>
          <w:p w14:paraId="299C1799" w14:textId="77777777" w:rsidR="000A2CAE" w:rsidRDefault="00B95D65">
            <w:pPr>
              <w:pStyle w:val="CellHeader"/>
            </w:pPr>
            <w:r>
              <w:rPr>
                <w:rFonts w:cs="Times New Roman"/>
              </w:rPr>
              <w:t>Izvor podataka</w:t>
            </w:r>
          </w:p>
        </w:tc>
        <w:tc>
          <w:tcPr>
            <w:tcW w:w="918" w:type="dxa"/>
            <w:shd w:val="clear" w:color="auto" w:fill="B5C0D8"/>
          </w:tcPr>
          <w:p w14:paraId="64421070" w14:textId="77777777" w:rsidR="000A2CAE" w:rsidRDefault="00B95D65">
            <w:pPr>
              <w:pStyle w:val="CellHeader"/>
            </w:pPr>
            <w:r>
              <w:rPr>
                <w:rFonts w:cs="Times New Roman"/>
              </w:rPr>
              <w:t>Ciljana vrijednost (2025.)</w:t>
            </w:r>
          </w:p>
        </w:tc>
        <w:tc>
          <w:tcPr>
            <w:tcW w:w="918" w:type="dxa"/>
            <w:shd w:val="clear" w:color="auto" w:fill="B5C0D8"/>
          </w:tcPr>
          <w:p w14:paraId="557D79F2" w14:textId="77777777" w:rsidR="000A2CAE" w:rsidRDefault="00B95D65">
            <w:pPr>
              <w:pStyle w:val="CellHeader"/>
            </w:pPr>
            <w:r>
              <w:rPr>
                <w:rFonts w:cs="Times New Roman"/>
              </w:rPr>
              <w:t>Ciljana vrijednost (2026.)</w:t>
            </w:r>
          </w:p>
        </w:tc>
        <w:tc>
          <w:tcPr>
            <w:tcW w:w="918" w:type="dxa"/>
            <w:shd w:val="clear" w:color="auto" w:fill="B5C0D8"/>
          </w:tcPr>
          <w:p w14:paraId="49BC09E9" w14:textId="77777777" w:rsidR="000A2CAE" w:rsidRDefault="00B95D65">
            <w:pPr>
              <w:pStyle w:val="CellHeader"/>
            </w:pPr>
            <w:r>
              <w:rPr>
                <w:rFonts w:cs="Times New Roman"/>
              </w:rPr>
              <w:t>Ciljana vrijednost (2027.)</w:t>
            </w:r>
          </w:p>
        </w:tc>
      </w:tr>
      <w:tr w:rsidR="000A2CAE" w14:paraId="63A9B343" w14:textId="77777777">
        <w:trPr>
          <w:jc w:val="center"/>
        </w:trPr>
        <w:tc>
          <w:tcPr>
            <w:tcW w:w="2245" w:type="dxa"/>
          </w:tcPr>
          <w:p w14:paraId="02E1F451" w14:textId="47FB8125" w:rsidR="000A2CAE" w:rsidRDefault="00B95D65">
            <w:pPr>
              <w:pStyle w:val="CellColumn"/>
            </w:pPr>
            <w:r>
              <w:rPr>
                <w:rFonts w:cs="Times New Roman"/>
              </w:rPr>
              <w:t>Stupanj</w:t>
            </w:r>
            <w:r w:rsidR="007308F5">
              <w:rPr>
                <w:rFonts w:cs="Times New Roman"/>
              </w:rPr>
              <w:t xml:space="preserve"> </w:t>
            </w:r>
            <w:r>
              <w:rPr>
                <w:rFonts w:cs="Times New Roman"/>
              </w:rPr>
              <w:t>dovršenosti projektne dokumentacije</w:t>
            </w:r>
          </w:p>
        </w:tc>
        <w:tc>
          <w:tcPr>
            <w:tcW w:w="2245" w:type="dxa"/>
          </w:tcPr>
          <w:p w14:paraId="31666972" w14:textId="77777777" w:rsidR="000A2CAE" w:rsidRDefault="00B95D65">
            <w:pPr>
              <w:pStyle w:val="CellColumn"/>
            </w:pPr>
            <w:r>
              <w:rPr>
                <w:rFonts w:cs="Times New Roman"/>
              </w:rPr>
              <w:t xml:space="preserve">Pripremom projektne dokumentacije stvara se preduvjet za realizaciju izgradnje vertikalne obale što će rezultirati povećanjem kapaciteta i </w:t>
            </w:r>
          </w:p>
          <w:p w14:paraId="40E7FFBA" w14:textId="77777777" w:rsidR="000A2CAE" w:rsidRDefault="00B95D65">
            <w:pPr>
              <w:pStyle w:val="CellColumn"/>
            </w:pPr>
            <w:r>
              <w:rPr>
                <w:rFonts w:cs="Times New Roman"/>
              </w:rPr>
              <w:t xml:space="preserve">konkurentnosti luke </w:t>
            </w:r>
          </w:p>
          <w:p w14:paraId="1F4A4DBA" w14:textId="77777777" w:rsidR="000A2CAE" w:rsidRDefault="00B95D65">
            <w:pPr>
              <w:pStyle w:val="CellColumn"/>
            </w:pPr>
            <w:r>
              <w:rPr>
                <w:rFonts w:cs="Times New Roman"/>
              </w:rPr>
              <w:t>Vukovar</w:t>
            </w:r>
          </w:p>
        </w:tc>
        <w:tc>
          <w:tcPr>
            <w:tcW w:w="918" w:type="dxa"/>
          </w:tcPr>
          <w:p w14:paraId="0094932B" w14:textId="77777777" w:rsidR="000A2CAE" w:rsidRDefault="00B95D65">
            <w:pPr>
              <w:pStyle w:val="CellColumn"/>
            </w:pPr>
            <w:r>
              <w:rPr>
                <w:rFonts w:cs="Times New Roman"/>
              </w:rPr>
              <w:t>%</w:t>
            </w:r>
          </w:p>
        </w:tc>
        <w:tc>
          <w:tcPr>
            <w:tcW w:w="918" w:type="dxa"/>
          </w:tcPr>
          <w:p w14:paraId="5EDE8DBE" w14:textId="77777777" w:rsidR="000A2CAE" w:rsidRDefault="00B95D65">
            <w:pPr>
              <w:pStyle w:val="CellColumn"/>
            </w:pPr>
            <w:r>
              <w:rPr>
                <w:rFonts w:cs="Times New Roman"/>
              </w:rPr>
              <w:t>98</w:t>
            </w:r>
          </w:p>
        </w:tc>
        <w:tc>
          <w:tcPr>
            <w:tcW w:w="918" w:type="dxa"/>
          </w:tcPr>
          <w:p w14:paraId="1AF0A9EA" w14:textId="77777777" w:rsidR="000A2CAE" w:rsidRDefault="00B95D65">
            <w:pPr>
              <w:pStyle w:val="CellColumn"/>
            </w:pPr>
            <w:r>
              <w:rPr>
                <w:rFonts w:cs="Times New Roman"/>
              </w:rPr>
              <w:t>Lučka uprava Vukovar</w:t>
            </w:r>
          </w:p>
        </w:tc>
        <w:tc>
          <w:tcPr>
            <w:tcW w:w="918" w:type="dxa"/>
          </w:tcPr>
          <w:p w14:paraId="1DB32690" w14:textId="77777777" w:rsidR="000A2CAE" w:rsidRDefault="00B95D65">
            <w:pPr>
              <w:pStyle w:val="CellColumn"/>
            </w:pPr>
            <w:r>
              <w:rPr>
                <w:rFonts w:cs="Times New Roman"/>
              </w:rPr>
              <w:t>100</w:t>
            </w:r>
          </w:p>
        </w:tc>
        <w:tc>
          <w:tcPr>
            <w:tcW w:w="918" w:type="dxa"/>
          </w:tcPr>
          <w:p w14:paraId="7CDB30C2" w14:textId="77777777" w:rsidR="000A2CAE" w:rsidRDefault="000A2CAE">
            <w:pPr>
              <w:jc w:val="left"/>
            </w:pPr>
          </w:p>
        </w:tc>
        <w:tc>
          <w:tcPr>
            <w:tcW w:w="918" w:type="dxa"/>
          </w:tcPr>
          <w:p w14:paraId="7FEA897E" w14:textId="77777777" w:rsidR="000A2CAE" w:rsidRDefault="000A2CAE">
            <w:pPr>
              <w:jc w:val="left"/>
            </w:pPr>
          </w:p>
        </w:tc>
      </w:tr>
    </w:tbl>
    <w:p w14:paraId="004F015D" w14:textId="77777777" w:rsidR="000A2CAE" w:rsidRDefault="000A2CAE">
      <w:pPr>
        <w:jc w:val="left"/>
      </w:pPr>
    </w:p>
    <w:p w14:paraId="1AEF9417" w14:textId="77777777" w:rsidR="007308F5" w:rsidRDefault="007308F5">
      <w:pPr>
        <w:jc w:val="left"/>
      </w:pPr>
    </w:p>
    <w:p w14:paraId="71F3EF19" w14:textId="77777777" w:rsidR="000A2CAE" w:rsidRDefault="00B95D65">
      <w:pPr>
        <w:pStyle w:val="Heading4"/>
      </w:pPr>
      <w:r>
        <w:t>K930007 CEF - FAIRWAY DANUBE II - BUDUĆI KORACI ZA UNAPRJEĐENJE PLOVIDBE NA DUNAVU</w:t>
      </w:r>
    </w:p>
    <w:p w14:paraId="362899A1" w14:textId="77777777" w:rsidR="000A2CAE" w:rsidRDefault="00B95D65">
      <w:pPr>
        <w:pStyle w:val="Heading8"/>
        <w:jc w:val="left"/>
      </w:pPr>
      <w:r>
        <w:t>Zakonske i druge pravne osnove</w:t>
      </w:r>
    </w:p>
    <w:p w14:paraId="4E9A8DFA" w14:textId="77777777" w:rsidR="000A2CAE" w:rsidRDefault="00B95D65" w:rsidP="007308F5">
      <w:pPr>
        <w:pStyle w:val="Normal5"/>
        <w:ind w:left="0"/>
      </w:pPr>
      <w:r>
        <w:t xml:space="preserve">- Zakon o plovidbi i lukama unutarnjih voda (NN 144/21)  </w:t>
      </w:r>
    </w:p>
    <w:p w14:paraId="1A459D85" w14:textId="77777777" w:rsidR="000A2CAE" w:rsidRDefault="00B95D65" w:rsidP="007308F5">
      <w:pPr>
        <w:pStyle w:val="Normal5"/>
        <w:ind w:left="0"/>
      </w:pPr>
      <w:r>
        <w:t>- Strategija prometnog razvoja Republike Hrvatske 2017. – 2030., točke 2.7, 4.2.6 i 5.6.</w:t>
      </w:r>
    </w:p>
    <w:tbl>
      <w:tblPr>
        <w:tblStyle w:val="StilTablice"/>
        <w:tblW w:w="10206" w:type="dxa"/>
        <w:jc w:val="center"/>
        <w:tblLook w:val="04A0" w:firstRow="1" w:lastRow="0" w:firstColumn="1" w:lastColumn="0" w:noHBand="0" w:noVBand="1"/>
      </w:tblPr>
      <w:tblGrid>
        <w:gridCol w:w="1603"/>
        <w:gridCol w:w="1539"/>
        <w:gridCol w:w="1518"/>
        <w:gridCol w:w="1529"/>
        <w:gridCol w:w="1529"/>
        <w:gridCol w:w="1518"/>
        <w:gridCol w:w="970"/>
      </w:tblGrid>
      <w:tr w:rsidR="000A2CAE" w14:paraId="45917D85" w14:textId="77777777" w:rsidTr="0059071A">
        <w:trPr>
          <w:jc w:val="center"/>
        </w:trPr>
        <w:tc>
          <w:tcPr>
            <w:tcW w:w="1603" w:type="dxa"/>
            <w:shd w:val="clear" w:color="auto" w:fill="B5C0D8"/>
          </w:tcPr>
          <w:p w14:paraId="7BB8A7CB" w14:textId="77777777" w:rsidR="000A2CAE" w:rsidRDefault="00B95D65">
            <w:pPr>
              <w:pStyle w:val="CellHeader"/>
            </w:pPr>
            <w:r>
              <w:rPr>
                <w:rFonts w:cs="Times New Roman"/>
              </w:rPr>
              <w:t>Naziv aktivnosti</w:t>
            </w:r>
          </w:p>
        </w:tc>
        <w:tc>
          <w:tcPr>
            <w:tcW w:w="1539" w:type="dxa"/>
            <w:shd w:val="clear" w:color="auto" w:fill="B5C0D8"/>
          </w:tcPr>
          <w:p w14:paraId="760A0497" w14:textId="77777777" w:rsidR="000A2CAE" w:rsidRDefault="00B95D65">
            <w:pPr>
              <w:pStyle w:val="CellHeader"/>
            </w:pPr>
            <w:r>
              <w:rPr>
                <w:rFonts w:cs="Times New Roman"/>
              </w:rPr>
              <w:t>Izvršenje 2023. (eur)</w:t>
            </w:r>
          </w:p>
        </w:tc>
        <w:tc>
          <w:tcPr>
            <w:tcW w:w="1518" w:type="dxa"/>
            <w:shd w:val="clear" w:color="auto" w:fill="B5C0D8"/>
          </w:tcPr>
          <w:p w14:paraId="795EF9C8" w14:textId="77777777" w:rsidR="000A2CAE" w:rsidRDefault="00B95D65">
            <w:pPr>
              <w:pStyle w:val="CellHeader"/>
            </w:pPr>
            <w:r>
              <w:rPr>
                <w:rFonts w:cs="Times New Roman"/>
              </w:rPr>
              <w:t>Plan 2024. (eur)</w:t>
            </w:r>
          </w:p>
        </w:tc>
        <w:tc>
          <w:tcPr>
            <w:tcW w:w="1529" w:type="dxa"/>
            <w:shd w:val="clear" w:color="auto" w:fill="B5C0D8"/>
          </w:tcPr>
          <w:p w14:paraId="4BA16145" w14:textId="77777777" w:rsidR="000A2CAE" w:rsidRDefault="00B95D65">
            <w:pPr>
              <w:pStyle w:val="CellHeader"/>
            </w:pPr>
            <w:r>
              <w:rPr>
                <w:rFonts w:cs="Times New Roman"/>
              </w:rPr>
              <w:t>Plan 2025. (eur)</w:t>
            </w:r>
          </w:p>
        </w:tc>
        <w:tc>
          <w:tcPr>
            <w:tcW w:w="1529" w:type="dxa"/>
            <w:shd w:val="clear" w:color="auto" w:fill="B5C0D8"/>
          </w:tcPr>
          <w:p w14:paraId="091D7866" w14:textId="77777777" w:rsidR="000A2CAE" w:rsidRDefault="00B95D65">
            <w:pPr>
              <w:pStyle w:val="CellHeader"/>
            </w:pPr>
            <w:r>
              <w:rPr>
                <w:rFonts w:cs="Times New Roman"/>
              </w:rPr>
              <w:t>Plan 2026. (eur)</w:t>
            </w:r>
          </w:p>
        </w:tc>
        <w:tc>
          <w:tcPr>
            <w:tcW w:w="1518" w:type="dxa"/>
            <w:shd w:val="clear" w:color="auto" w:fill="B5C0D8"/>
          </w:tcPr>
          <w:p w14:paraId="4AA09CD9" w14:textId="77777777" w:rsidR="000A2CAE" w:rsidRDefault="00B95D65">
            <w:pPr>
              <w:pStyle w:val="CellHeader"/>
            </w:pPr>
            <w:r>
              <w:rPr>
                <w:rFonts w:cs="Times New Roman"/>
              </w:rPr>
              <w:t>Plan 2027. (eur)</w:t>
            </w:r>
          </w:p>
        </w:tc>
        <w:tc>
          <w:tcPr>
            <w:tcW w:w="970" w:type="dxa"/>
            <w:shd w:val="clear" w:color="auto" w:fill="B5C0D8"/>
          </w:tcPr>
          <w:p w14:paraId="0EAE08BA" w14:textId="77777777" w:rsidR="000A2CAE" w:rsidRDefault="00B95D65">
            <w:pPr>
              <w:pStyle w:val="CellHeader"/>
            </w:pPr>
            <w:r>
              <w:rPr>
                <w:rFonts w:cs="Times New Roman"/>
              </w:rPr>
              <w:t>Indeks 2025/2024</w:t>
            </w:r>
          </w:p>
        </w:tc>
      </w:tr>
      <w:tr w:rsidR="0059071A" w14:paraId="5E4D6C1C" w14:textId="77777777" w:rsidTr="0059071A">
        <w:trPr>
          <w:jc w:val="center"/>
        </w:trPr>
        <w:tc>
          <w:tcPr>
            <w:tcW w:w="1603" w:type="dxa"/>
          </w:tcPr>
          <w:p w14:paraId="798928C3" w14:textId="77777777" w:rsidR="0059071A" w:rsidRDefault="0059071A" w:rsidP="0059071A">
            <w:pPr>
              <w:pStyle w:val="CellColumn"/>
            </w:pPr>
            <w:r>
              <w:rPr>
                <w:rFonts w:cs="Times New Roman"/>
              </w:rPr>
              <w:t>K930007-CEF - FAIRWAY DANUBE II - BUDUĆI KORACI ZA UNAPRJEĐENJE PLOVIDBE NA DUNAVU</w:t>
            </w:r>
          </w:p>
        </w:tc>
        <w:tc>
          <w:tcPr>
            <w:tcW w:w="1539" w:type="dxa"/>
          </w:tcPr>
          <w:p w14:paraId="1DEDABB1" w14:textId="52BF4BE2" w:rsidR="0059071A" w:rsidRDefault="0059071A" w:rsidP="0059071A">
            <w:pPr>
              <w:pStyle w:val="CellColumn"/>
            </w:pPr>
            <w:r>
              <w:rPr>
                <w:rFonts w:cs="Times New Roman"/>
              </w:rPr>
              <w:t>3.876</w:t>
            </w:r>
          </w:p>
        </w:tc>
        <w:tc>
          <w:tcPr>
            <w:tcW w:w="1518" w:type="dxa"/>
          </w:tcPr>
          <w:p w14:paraId="41E059AD" w14:textId="77777777" w:rsidR="0059071A" w:rsidRDefault="0059071A" w:rsidP="0059071A">
            <w:pPr>
              <w:pStyle w:val="CellColumn"/>
            </w:pPr>
            <w:r>
              <w:rPr>
                <w:rFonts w:cs="Times New Roman"/>
              </w:rPr>
              <w:t>79.040</w:t>
            </w:r>
          </w:p>
        </w:tc>
        <w:tc>
          <w:tcPr>
            <w:tcW w:w="1529" w:type="dxa"/>
          </w:tcPr>
          <w:p w14:paraId="56DD1A69" w14:textId="77777777" w:rsidR="0059071A" w:rsidRDefault="0059071A" w:rsidP="0059071A">
            <w:pPr>
              <w:pStyle w:val="CellColumn"/>
            </w:pPr>
            <w:r>
              <w:rPr>
                <w:rFonts w:cs="Times New Roman"/>
              </w:rPr>
              <w:t>261.800</w:t>
            </w:r>
          </w:p>
        </w:tc>
        <w:tc>
          <w:tcPr>
            <w:tcW w:w="1529" w:type="dxa"/>
          </w:tcPr>
          <w:p w14:paraId="7B4B22CE" w14:textId="77777777" w:rsidR="0059071A" w:rsidRDefault="0059071A" w:rsidP="0059071A">
            <w:pPr>
              <w:pStyle w:val="CellColumn"/>
            </w:pPr>
            <w:r>
              <w:rPr>
                <w:rFonts w:cs="Times New Roman"/>
              </w:rPr>
              <w:t>261.800</w:t>
            </w:r>
          </w:p>
        </w:tc>
        <w:tc>
          <w:tcPr>
            <w:tcW w:w="1518" w:type="dxa"/>
          </w:tcPr>
          <w:p w14:paraId="0C8331EC" w14:textId="77777777" w:rsidR="0059071A" w:rsidRDefault="0059071A" w:rsidP="0059071A">
            <w:pPr>
              <w:pStyle w:val="CellColumn"/>
            </w:pPr>
            <w:r>
              <w:rPr>
                <w:rFonts w:cs="Times New Roman"/>
              </w:rPr>
              <w:t>63.800</w:t>
            </w:r>
          </w:p>
        </w:tc>
        <w:tc>
          <w:tcPr>
            <w:tcW w:w="970" w:type="dxa"/>
          </w:tcPr>
          <w:p w14:paraId="201EF298" w14:textId="77777777" w:rsidR="0059071A" w:rsidRDefault="0059071A" w:rsidP="0059071A">
            <w:pPr>
              <w:pStyle w:val="CellColumn"/>
            </w:pPr>
            <w:r>
              <w:rPr>
                <w:rFonts w:cs="Times New Roman"/>
              </w:rPr>
              <w:t>331,2</w:t>
            </w:r>
          </w:p>
        </w:tc>
      </w:tr>
    </w:tbl>
    <w:p w14:paraId="5B396588" w14:textId="77777777" w:rsidR="000A2CAE" w:rsidRDefault="000A2CAE">
      <w:pPr>
        <w:jc w:val="left"/>
      </w:pPr>
    </w:p>
    <w:p w14:paraId="41944727" w14:textId="1ED8460D" w:rsidR="000A2CAE" w:rsidRDefault="00B95D65">
      <w:r>
        <w:t xml:space="preserve">FAIRway Danube II je transnacionalni i projektni prijedlog uz sudjelovanje Austrije, Slovačke, Mađarske, Hrvatske, Bugarske i Rumunjske koji ima za cilj osigurati usklađenost Dunava sa zahtjevima za prometnu infrastrukturu unutarnjih plovnih puteva kako je navedeno u čl. 15/3 Uredbe (EU) br. 1315/2013 (TEN-T Uredba), posebno s minimalnim zahtjevima koji se odnose na dubinu plovidbenog puta za očuvanje dobrog statusa plovidbe. Prijedlog će također doprinijeti provedbi Glavnog plana obnove i održavanja plovnog puta koji su usvojili gotovo svi dunavski ministri prometa (u lipnju 2022.), a koji se također spominje u Petom planu rada europskog koordinatora za koridor Rajna-Dunav. Radni paket WP6 (Studije za dogradnju infrastrukture za privezišta) ima za cilj pripremiti zrele </w:t>
      </w:r>
      <w:r>
        <w:lastRenderedPageBreak/>
        <w:t xml:space="preserve">projekte za nadogradnju postojeće i/ili izgradnju nove infrastrukture za privez plovila na unutarnjim vodama u Austriji, Slovačkoj i Hrvatskoj. Kroz radni paket WP6 Lučka uprava Vukovar izradit će studijsko-projektnu dokumentaciju za izgradnju infrastrukture za privezište u Hrvatskoj.   </w:t>
      </w:r>
    </w:p>
    <w:p w14:paraId="707A6B8C" w14:textId="77777777" w:rsidR="000A2CAE" w:rsidRDefault="00B95D65">
      <w:r>
        <w:t>Aktivnosti u 2025. uključuju financiranje projektnog osoblja i službenih putovanja u sklopu projekta, te financiranje izrade studijsko-projektne dokumentacije. U 2026. i 2027. planiran je nastavak financiranja projektnih aktivnosti. Završetak provedbe projekta predviđen je do kraja 2027. godine.</w:t>
      </w:r>
    </w:p>
    <w:p w14:paraId="237CC589" w14:textId="77777777" w:rsidR="000A2CAE" w:rsidRDefault="00B95D65">
      <w:pPr>
        <w:pStyle w:val="Heading8"/>
        <w:jc w:val="left"/>
      </w:pPr>
      <w:r>
        <w:t>Pokazatelji rezultata</w:t>
      </w:r>
    </w:p>
    <w:tbl>
      <w:tblPr>
        <w:tblStyle w:val="StilTablice"/>
        <w:tblW w:w="10206" w:type="dxa"/>
        <w:jc w:val="center"/>
        <w:tblLook w:val="04A0" w:firstRow="1" w:lastRow="0" w:firstColumn="1" w:lastColumn="0" w:noHBand="0" w:noVBand="1"/>
      </w:tblPr>
      <w:tblGrid>
        <w:gridCol w:w="1937"/>
        <w:gridCol w:w="1938"/>
        <w:gridCol w:w="1771"/>
        <w:gridCol w:w="917"/>
        <w:gridCol w:w="892"/>
        <w:gridCol w:w="917"/>
        <w:gridCol w:w="917"/>
        <w:gridCol w:w="917"/>
      </w:tblGrid>
      <w:tr w:rsidR="000A2CAE" w14:paraId="629C08C3" w14:textId="77777777">
        <w:trPr>
          <w:jc w:val="center"/>
        </w:trPr>
        <w:tc>
          <w:tcPr>
            <w:tcW w:w="2245" w:type="dxa"/>
            <w:shd w:val="clear" w:color="auto" w:fill="B5C0D8"/>
          </w:tcPr>
          <w:p w14:paraId="04B2CD00" w14:textId="77777777" w:rsidR="000A2CAE" w:rsidRDefault="00B95D65">
            <w:r>
              <w:t>Pokazatelj rezultata</w:t>
            </w:r>
          </w:p>
        </w:tc>
        <w:tc>
          <w:tcPr>
            <w:tcW w:w="2245" w:type="dxa"/>
            <w:shd w:val="clear" w:color="auto" w:fill="B5C0D8"/>
          </w:tcPr>
          <w:p w14:paraId="5A6F1D44" w14:textId="77777777" w:rsidR="000A2CAE" w:rsidRDefault="00B95D65">
            <w:pPr>
              <w:pStyle w:val="CellHeader"/>
            </w:pPr>
            <w:r>
              <w:rPr>
                <w:rFonts w:cs="Times New Roman"/>
              </w:rPr>
              <w:t>Definicija</w:t>
            </w:r>
          </w:p>
        </w:tc>
        <w:tc>
          <w:tcPr>
            <w:tcW w:w="2245" w:type="dxa"/>
            <w:shd w:val="clear" w:color="auto" w:fill="B5C0D8"/>
          </w:tcPr>
          <w:p w14:paraId="73C2903E" w14:textId="77777777" w:rsidR="000A2CAE" w:rsidRDefault="00B95D65">
            <w:pPr>
              <w:pStyle w:val="CellHeader"/>
            </w:pPr>
            <w:r>
              <w:rPr>
                <w:rFonts w:cs="Times New Roman"/>
              </w:rPr>
              <w:t>Jedinica</w:t>
            </w:r>
          </w:p>
        </w:tc>
        <w:tc>
          <w:tcPr>
            <w:tcW w:w="918" w:type="dxa"/>
            <w:shd w:val="clear" w:color="auto" w:fill="B5C0D8"/>
          </w:tcPr>
          <w:p w14:paraId="0A2492DD" w14:textId="77777777" w:rsidR="000A2CAE" w:rsidRDefault="00B95D65">
            <w:pPr>
              <w:pStyle w:val="CellHeader"/>
            </w:pPr>
            <w:r>
              <w:rPr>
                <w:rFonts w:cs="Times New Roman"/>
              </w:rPr>
              <w:t>Polazna vrijednost</w:t>
            </w:r>
          </w:p>
        </w:tc>
        <w:tc>
          <w:tcPr>
            <w:tcW w:w="918" w:type="dxa"/>
            <w:shd w:val="clear" w:color="auto" w:fill="B5C0D8"/>
          </w:tcPr>
          <w:p w14:paraId="3822D0F9" w14:textId="77777777" w:rsidR="000A2CAE" w:rsidRDefault="00B95D65">
            <w:pPr>
              <w:pStyle w:val="CellHeader"/>
            </w:pPr>
            <w:r>
              <w:rPr>
                <w:rFonts w:cs="Times New Roman"/>
              </w:rPr>
              <w:t>Izvor podataka</w:t>
            </w:r>
          </w:p>
        </w:tc>
        <w:tc>
          <w:tcPr>
            <w:tcW w:w="918" w:type="dxa"/>
            <w:shd w:val="clear" w:color="auto" w:fill="B5C0D8"/>
          </w:tcPr>
          <w:p w14:paraId="2AB7AC23" w14:textId="77777777" w:rsidR="000A2CAE" w:rsidRDefault="00B95D65">
            <w:pPr>
              <w:pStyle w:val="CellHeader"/>
            </w:pPr>
            <w:r>
              <w:rPr>
                <w:rFonts w:cs="Times New Roman"/>
              </w:rPr>
              <w:t>Ciljana vrijednost (2025.)</w:t>
            </w:r>
          </w:p>
        </w:tc>
        <w:tc>
          <w:tcPr>
            <w:tcW w:w="918" w:type="dxa"/>
            <w:shd w:val="clear" w:color="auto" w:fill="B5C0D8"/>
          </w:tcPr>
          <w:p w14:paraId="63537FB9" w14:textId="77777777" w:rsidR="000A2CAE" w:rsidRDefault="00B95D65">
            <w:pPr>
              <w:pStyle w:val="CellHeader"/>
            </w:pPr>
            <w:r>
              <w:rPr>
                <w:rFonts w:cs="Times New Roman"/>
              </w:rPr>
              <w:t>Ciljana vrijednost (2026.)</w:t>
            </w:r>
          </w:p>
        </w:tc>
        <w:tc>
          <w:tcPr>
            <w:tcW w:w="918" w:type="dxa"/>
            <w:shd w:val="clear" w:color="auto" w:fill="B5C0D8"/>
          </w:tcPr>
          <w:p w14:paraId="1557C137" w14:textId="77777777" w:rsidR="000A2CAE" w:rsidRDefault="00B95D65">
            <w:pPr>
              <w:pStyle w:val="CellHeader"/>
            </w:pPr>
            <w:r>
              <w:rPr>
                <w:rFonts w:cs="Times New Roman"/>
              </w:rPr>
              <w:t>Ciljana vrijednost (2027.)</w:t>
            </w:r>
          </w:p>
        </w:tc>
      </w:tr>
      <w:tr w:rsidR="000A2CAE" w14:paraId="6205C814" w14:textId="77777777">
        <w:trPr>
          <w:jc w:val="center"/>
        </w:trPr>
        <w:tc>
          <w:tcPr>
            <w:tcW w:w="2245" w:type="dxa"/>
          </w:tcPr>
          <w:p w14:paraId="1708FA02" w14:textId="77777777" w:rsidR="000A2CAE" w:rsidRDefault="00B95D65">
            <w:pPr>
              <w:pStyle w:val="CellColumn"/>
            </w:pPr>
            <w:r>
              <w:rPr>
                <w:rFonts w:cs="Times New Roman"/>
              </w:rPr>
              <w:t>Stupanj dovršenosti projektne dokumentacije</w:t>
            </w:r>
          </w:p>
        </w:tc>
        <w:tc>
          <w:tcPr>
            <w:tcW w:w="2245" w:type="dxa"/>
          </w:tcPr>
          <w:p w14:paraId="4E6BD80C" w14:textId="77777777" w:rsidR="000A2CAE" w:rsidRDefault="00B95D65">
            <w:pPr>
              <w:pStyle w:val="CellColumn"/>
            </w:pPr>
            <w:r>
              <w:rPr>
                <w:rFonts w:cs="Times New Roman"/>
              </w:rPr>
              <w:t>Pripremom studijsko-projektne dokumentacije stvara se preduvjet za izgradnju privezišta – mjesta za boravak plovila na vodnom putu u svrhu izmjene i kraćeg odmora posade plovila</w:t>
            </w:r>
          </w:p>
        </w:tc>
        <w:tc>
          <w:tcPr>
            <w:tcW w:w="918" w:type="dxa"/>
          </w:tcPr>
          <w:p w14:paraId="1A4C1C7A" w14:textId="77777777" w:rsidR="000A2CAE" w:rsidRDefault="00B95D65">
            <w:pPr>
              <w:pStyle w:val="CellColumn"/>
            </w:pPr>
            <w:r>
              <w:rPr>
                <w:rFonts w:cs="Times New Roman"/>
              </w:rPr>
              <w:t>%</w:t>
            </w:r>
          </w:p>
        </w:tc>
        <w:tc>
          <w:tcPr>
            <w:tcW w:w="918" w:type="dxa"/>
          </w:tcPr>
          <w:p w14:paraId="74ED3F2C" w14:textId="77777777" w:rsidR="000A2CAE" w:rsidRDefault="00B95D65">
            <w:pPr>
              <w:pStyle w:val="CellColumn"/>
            </w:pPr>
            <w:r>
              <w:rPr>
                <w:rFonts w:cs="Times New Roman"/>
              </w:rPr>
              <w:t>15</w:t>
            </w:r>
          </w:p>
        </w:tc>
        <w:tc>
          <w:tcPr>
            <w:tcW w:w="918" w:type="dxa"/>
          </w:tcPr>
          <w:p w14:paraId="4C9D666E" w14:textId="77777777" w:rsidR="000A2CAE" w:rsidRDefault="00B95D65">
            <w:pPr>
              <w:pStyle w:val="CellColumn"/>
            </w:pPr>
            <w:r>
              <w:rPr>
                <w:rFonts w:cs="Times New Roman"/>
              </w:rPr>
              <w:t>Lučka uprava Vukovar</w:t>
            </w:r>
          </w:p>
        </w:tc>
        <w:tc>
          <w:tcPr>
            <w:tcW w:w="918" w:type="dxa"/>
          </w:tcPr>
          <w:p w14:paraId="4D6F7615" w14:textId="77777777" w:rsidR="000A2CAE" w:rsidRDefault="00B95D65">
            <w:pPr>
              <w:pStyle w:val="CellColumn"/>
            </w:pPr>
            <w:r>
              <w:rPr>
                <w:rFonts w:cs="Times New Roman"/>
              </w:rPr>
              <w:t>70</w:t>
            </w:r>
          </w:p>
        </w:tc>
        <w:tc>
          <w:tcPr>
            <w:tcW w:w="918" w:type="dxa"/>
          </w:tcPr>
          <w:p w14:paraId="4811E197" w14:textId="77777777" w:rsidR="000A2CAE" w:rsidRDefault="00B95D65">
            <w:pPr>
              <w:pStyle w:val="CellColumn"/>
            </w:pPr>
            <w:r>
              <w:rPr>
                <w:rFonts w:cs="Times New Roman"/>
              </w:rPr>
              <w:t>95</w:t>
            </w:r>
          </w:p>
        </w:tc>
        <w:tc>
          <w:tcPr>
            <w:tcW w:w="918" w:type="dxa"/>
          </w:tcPr>
          <w:p w14:paraId="71082F26" w14:textId="77777777" w:rsidR="000A2CAE" w:rsidRDefault="00B95D65">
            <w:pPr>
              <w:pStyle w:val="CellColumn"/>
            </w:pPr>
            <w:r>
              <w:rPr>
                <w:rFonts w:cs="Times New Roman"/>
              </w:rPr>
              <w:t>100</w:t>
            </w:r>
          </w:p>
        </w:tc>
      </w:tr>
    </w:tbl>
    <w:p w14:paraId="3E9AFFBF" w14:textId="77777777" w:rsidR="007308F5" w:rsidRDefault="007308F5">
      <w:pPr>
        <w:jc w:val="left"/>
      </w:pPr>
    </w:p>
    <w:p w14:paraId="74D0143E" w14:textId="77777777" w:rsidR="007308F5" w:rsidRDefault="007308F5">
      <w:pPr>
        <w:jc w:val="left"/>
      </w:pPr>
    </w:p>
    <w:p w14:paraId="3E93AAF6" w14:textId="77777777" w:rsidR="000A2CAE" w:rsidRDefault="00B95D65">
      <w:pPr>
        <w:pStyle w:val="Heading4"/>
      </w:pPr>
      <w:r>
        <w:t>T930008 INTERREG IPA CBC HRVATSKA-SRBIJA - INTERVENCIJE NA DUNAVU</w:t>
      </w:r>
    </w:p>
    <w:p w14:paraId="42127CF4" w14:textId="77777777" w:rsidR="000A2CAE" w:rsidRDefault="00B95D65">
      <w:pPr>
        <w:pStyle w:val="Heading8"/>
        <w:jc w:val="left"/>
      </w:pPr>
      <w:r>
        <w:t>Zakonske i druge pravne osnove</w:t>
      </w:r>
    </w:p>
    <w:p w14:paraId="5A507175" w14:textId="77777777" w:rsidR="000A2CAE" w:rsidRDefault="00B95D65" w:rsidP="007308F5">
      <w:pPr>
        <w:pStyle w:val="NoSpacing"/>
      </w:pPr>
      <w:r>
        <w:t xml:space="preserve">- Uredba (EU) 2021/1059 Europskog parlamenta i vijeća od 21. lipnja 2021.  </w:t>
      </w:r>
    </w:p>
    <w:p w14:paraId="5B1D8705" w14:textId="77777777" w:rsidR="000A2CAE" w:rsidRDefault="00B95D65" w:rsidP="007308F5">
      <w:pPr>
        <w:pStyle w:val="NoSpacing"/>
      </w:pPr>
      <w:r>
        <w:t xml:space="preserve">- Interreg VI-A IPA Program Hrvatska – Srbija 2021.-2027. </w:t>
      </w:r>
    </w:p>
    <w:p w14:paraId="16D1ABC7" w14:textId="77777777" w:rsidR="000A2CAE" w:rsidRDefault="00B95D65" w:rsidP="007308F5">
      <w:pPr>
        <w:pStyle w:val="NoSpacing"/>
      </w:pPr>
      <w:r>
        <w:t xml:space="preserve">- Ugovor broj 2024, HR-RS00034 </w:t>
      </w:r>
    </w:p>
    <w:p w14:paraId="04B7A66C" w14:textId="77777777" w:rsidR="000A2CAE" w:rsidRDefault="00B95D65" w:rsidP="007308F5">
      <w:pPr>
        <w:pStyle w:val="NoSpacing"/>
      </w:pPr>
      <w:r>
        <w:t xml:space="preserve">- Zakon o plovidbi i lukama unutarnjih voda  </w:t>
      </w:r>
    </w:p>
    <w:p w14:paraId="14782865" w14:textId="77777777" w:rsidR="000A2CAE" w:rsidRDefault="00B95D65" w:rsidP="007308F5">
      <w:pPr>
        <w:pStyle w:val="NoSpacing"/>
      </w:pPr>
      <w:r>
        <w:t>- Uredba o pristaništima unutarnjih voda</w:t>
      </w:r>
    </w:p>
    <w:p w14:paraId="214C59EB" w14:textId="77777777" w:rsidR="007308F5" w:rsidRDefault="007308F5" w:rsidP="007308F5">
      <w:pPr>
        <w:pStyle w:val="NoSpacing"/>
      </w:pPr>
    </w:p>
    <w:tbl>
      <w:tblPr>
        <w:tblStyle w:val="StilTablice"/>
        <w:tblW w:w="10206" w:type="dxa"/>
        <w:jc w:val="center"/>
        <w:tblLook w:val="04A0" w:firstRow="1" w:lastRow="0" w:firstColumn="1" w:lastColumn="0" w:noHBand="0" w:noVBand="1"/>
      </w:tblPr>
      <w:tblGrid>
        <w:gridCol w:w="1529"/>
        <w:gridCol w:w="1558"/>
        <w:gridCol w:w="1530"/>
        <w:gridCol w:w="1540"/>
        <w:gridCol w:w="1549"/>
        <w:gridCol w:w="1530"/>
        <w:gridCol w:w="970"/>
      </w:tblGrid>
      <w:tr w:rsidR="000A2CAE" w14:paraId="1FB96A55" w14:textId="77777777">
        <w:trPr>
          <w:jc w:val="center"/>
        </w:trPr>
        <w:tc>
          <w:tcPr>
            <w:tcW w:w="1530" w:type="dxa"/>
            <w:shd w:val="clear" w:color="auto" w:fill="B5C0D8"/>
          </w:tcPr>
          <w:p w14:paraId="60B27624" w14:textId="77777777" w:rsidR="000A2CAE" w:rsidRDefault="00B95D65">
            <w:pPr>
              <w:pStyle w:val="CellHeader"/>
            </w:pPr>
            <w:r>
              <w:rPr>
                <w:rFonts w:cs="Times New Roman"/>
              </w:rPr>
              <w:t>Naziv aktivnosti</w:t>
            </w:r>
          </w:p>
        </w:tc>
        <w:tc>
          <w:tcPr>
            <w:tcW w:w="1632" w:type="dxa"/>
            <w:shd w:val="clear" w:color="auto" w:fill="B5C0D8"/>
          </w:tcPr>
          <w:p w14:paraId="396B3FE9" w14:textId="77777777" w:rsidR="000A2CAE" w:rsidRDefault="00B95D65">
            <w:pPr>
              <w:pStyle w:val="CellHeader"/>
            </w:pPr>
            <w:r>
              <w:rPr>
                <w:rFonts w:cs="Times New Roman"/>
              </w:rPr>
              <w:t>Izvršenje 2023. (eur)</w:t>
            </w:r>
          </w:p>
        </w:tc>
        <w:tc>
          <w:tcPr>
            <w:tcW w:w="1632" w:type="dxa"/>
            <w:shd w:val="clear" w:color="auto" w:fill="B5C0D8"/>
          </w:tcPr>
          <w:p w14:paraId="627F98A5" w14:textId="77777777" w:rsidR="000A2CAE" w:rsidRDefault="00B95D65">
            <w:pPr>
              <w:pStyle w:val="CellHeader"/>
            </w:pPr>
            <w:r>
              <w:rPr>
                <w:rFonts w:cs="Times New Roman"/>
              </w:rPr>
              <w:t>Plan 2024. (eur)</w:t>
            </w:r>
          </w:p>
        </w:tc>
        <w:tc>
          <w:tcPr>
            <w:tcW w:w="1632" w:type="dxa"/>
            <w:shd w:val="clear" w:color="auto" w:fill="B5C0D8"/>
          </w:tcPr>
          <w:p w14:paraId="540FEB53" w14:textId="77777777" w:rsidR="000A2CAE" w:rsidRDefault="00B95D65">
            <w:pPr>
              <w:pStyle w:val="CellHeader"/>
            </w:pPr>
            <w:r>
              <w:rPr>
                <w:rFonts w:cs="Times New Roman"/>
              </w:rPr>
              <w:t>Plan 2025. (eur)</w:t>
            </w:r>
          </w:p>
        </w:tc>
        <w:tc>
          <w:tcPr>
            <w:tcW w:w="1632" w:type="dxa"/>
            <w:shd w:val="clear" w:color="auto" w:fill="B5C0D8"/>
          </w:tcPr>
          <w:p w14:paraId="01C3B2E3" w14:textId="77777777" w:rsidR="000A2CAE" w:rsidRDefault="00B95D65">
            <w:pPr>
              <w:pStyle w:val="CellHeader"/>
            </w:pPr>
            <w:r>
              <w:rPr>
                <w:rFonts w:cs="Times New Roman"/>
              </w:rPr>
              <w:t>Plan 2026. (eur)</w:t>
            </w:r>
          </w:p>
        </w:tc>
        <w:tc>
          <w:tcPr>
            <w:tcW w:w="1632" w:type="dxa"/>
            <w:shd w:val="clear" w:color="auto" w:fill="B5C0D8"/>
          </w:tcPr>
          <w:p w14:paraId="4BB258E0" w14:textId="77777777" w:rsidR="000A2CAE" w:rsidRDefault="00B95D65">
            <w:pPr>
              <w:pStyle w:val="CellHeader"/>
            </w:pPr>
            <w:r>
              <w:rPr>
                <w:rFonts w:cs="Times New Roman"/>
              </w:rPr>
              <w:t>Plan 2027. (eur)</w:t>
            </w:r>
          </w:p>
        </w:tc>
        <w:tc>
          <w:tcPr>
            <w:tcW w:w="510" w:type="dxa"/>
            <w:shd w:val="clear" w:color="auto" w:fill="B5C0D8"/>
          </w:tcPr>
          <w:p w14:paraId="14085BE0" w14:textId="77777777" w:rsidR="000A2CAE" w:rsidRDefault="00B95D65">
            <w:pPr>
              <w:pStyle w:val="CellHeader"/>
            </w:pPr>
            <w:r>
              <w:rPr>
                <w:rFonts w:cs="Times New Roman"/>
              </w:rPr>
              <w:t>Indeks 2025/2024</w:t>
            </w:r>
          </w:p>
        </w:tc>
      </w:tr>
      <w:tr w:rsidR="000A2CAE" w14:paraId="5D4C0C13" w14:textId="77777777">
        <w:trPr>
          <w:jc w:val="center"/>
        </w:trPr>
        <w:tc>
          <w:tcPr>
            <w:tcW w:w="1530" w:type="dxa"/>
          </w:tcPr>
          <w:p w14:paraId="2730FD12" w14:textId="77777777" w:rsidR="000A2CAE" w:rsidRDefault="00B95D65">
            <w:pPr>
              <w:pStyle w:val="CellColumn"/>
            </w:pPr>
            <w:r>
              <w:rPr>
                <w:rFonts w:cs="Times New Roman"/>
              </w:rPr>
              <w:t>T930008-INTERREG IPA CBC HRVATSKA-SRBIJA - INTERVENCIJE NA DUNAVU</w:t>
            </w:r>
          </w:p>
        </w:tc>
        <w:tc>
          <w:tcPr>
            <w:tcW w:w="1632" w:type="dxa"/>
          </w:tcPr>
          <w:p w14:paraId="1D696C3D" w14:textId="77777777" w:rsidR="000A2CAE" w:rsidRDefault="00B95D65">
            <w:pPr>
              <w:pStyle w:val="CellColumn"/>
            </w:pPr>
            <w:r>
              <w:rPr>
                <w:rFonts w:cs="Times New Roman"/>
              </w:rPr>
              <w:t>00</w:t>
            </w:r>
          </w:p>
        </w:tc>
        <w:tc>
          <w:tcPr>
            <w:tcW w:w="1632" w:type="dxa"/>
          </w:tcPr>
          <w:p w14:paraId="706A2BAF" w14:textId="77777777" w:rsidR="000A2CAE" w:rsidRDefault="00B95D65">
            <w:pPr>
              <w:pStyle w:val="CellColumn"/>
            </w:pPr>
            <w:r>
              <w:rPr>
                <w:rFonts w:cs="Times New Roman"/>
              </w:rPr>
              <w:t>8.160</w:t>
            </w:r>
          </w:p>
        </w:tc>
        <w:tc>
          <w:tcPr>
            <w:tcW w:w="1632" w:type="dxa"/>
          </w:tcPr>
          <w:p w14:paraId="341ADC60" w14:textId="77777777" w:rsidR="000A2CAE" w:rsidRDefault="00B95D65">
            <w:pPr>
              <w:pStyle w:val="CellColumn"/>
            </w:pPr>
            <w:r>
              <w:rPr>
                <w:rFonts w:cs="Times New Roman"/>
              </w:rPr>
              <w:t>83.633</w:t>
            </w:r>
          </w:p>
        </w:tc>
        <w:tc>
          <w:tcPr>
            <w:tcW w:w="1632" w:type="dxa"/>
          </w:tcPr>
          <w:p w14:paraId="058515D6" w14:textId="77777777" w:rsidR="000A2CAE" w:rsidRDefault="00B95D65">
            <w:pPr>
              <w:pStyle w:val="CellColumn"/>
            </w:pPr>
            <w:r>
              <w:rPr>
                <w:rFonts w:cs="Times New Roman"/>
              </w:rPr>
              <w:t>109.603</w:t>
            </w:r>
          </w:p>
        </w:tc>
        <w:tc>
          <w:tcPr>
            <w:tcW w:w="1632" w:type="dxa"/>
          </w:tcPr>
          <w:p w14:paraId="5DA366BE" w14:textId="77777777" w:rsidR="000A2CAE" w:rsidRDefault="00B95D65">
            <w:pPr>
              <w:pStyle w:val="CellColumn"/>
            </w:pPr>
            <w:r>
              <w:rPr>
                <w:rFonts w:cs="Times New Roman"/>
              </w:rPr>
              <w:t>8.870</w:t>
            </w:r>
          </w:p>
        </w:tc>
        <w:tc>
          <w:tcPr>
            <w:tcW w:w="510" w:type="dxa"/>
          </w:tcPr>
          <w:p w14:paraId="60A9631C" w14:textId="77777777" w:rsidR="000A2CAE" w:rsidRDefault="00B95D65">
            <w:pPr>
              <w:pStyle w:val="CellColumn"/>
            </w:pPr>
            <w:r>
              <w:rPr>
                <w:rFonts w:cs="Times New Roman"/>
              </w:rPr>
              <w:t>1024,9</w:t>
            </w:r>
          </w:p>
        </w:tc>
      </w:tr>
    </w:tbl>
    <w:p w14:paraId="49782C1D" w14:textId="77777777" w:rsidR="000A2CAE" w:rsidRDefault="000A2CAE">
      <w:pPr>
        <w:jc w:val="left"/>
      </w:pPr>
    </w:p>
    <w:p w14:paraId="398E8B32" w14:textId="04303E02" w:rsidR="000A2CAE" w:rsidRDefault="00B95D65">
      <w:r>
        <w:t xml:space="preserve">Glavni cilj ovog projekta je poboljšanje suradnje i sprječavanje rizika od katastrofa u ‎prekograničnom području rijeke Dunav kroz poboljšanje vještina i procedura ‎operativnih snaga civilne zaštite i vatrogasno-spasilačkih službi. Planirana su brojna rješenja za poboljšanje sposobnosti intervencije što uključuje primjenu ‎moderne tehnologije poput dronova za pretraživanje vodenih područja. U okviru projekta planira se poboljšanje komunikacije između timova koji sudjeluju u operacijama spašavanja i oporavka od katastrofa na Dunavu. Lučka uprava Vukovar kao projektni partner je odgovorna za provođenje postupka certificiranja pripadnika civilne zaštite za upravljanje vatrogasnim brodom koji će biti nabavljen tijekom projekta te nabavku opreme ključne za intervencije: plutajuća barijera za zadržavanje opasnih tvari, podvodni dron i oprema za terenske vježbe. Osim navedenog, Lučka uprava Vukovar je tijekom projekta zadužena za aktivnosti vezane uz promidžbu i vidljivost projekta. </w:t>
      </w:r>
    </w:p>
    <w:p w14:paraId="652CBF46" w14:textId="77777777" w:rsidR="007308F5" w:rsidRDefault="00B95D65">
      <w:r>
        <w:t xml:space="preserve">Troškovi provedbe projekta uključuju troškove za projektno osoblje za dva zaposlenika Lučke uprave uključena u provedbu projekta (plaće za redovan rad, doprinosi za obvezno zdravstveno osiguranje i službena putovanja), </w:t>
      </w:r>
      <w:r>
        <w:lastRenderedPageBreak/>
        <w:t xml:space="preserve">troškove reprezentacije za konferencije i sastanke tijekom provedbe projekta, troškove za usluge promidžbe i informiranja koje uključuju obvezne medijske objave (radio, televizija i novine) i troškove za intelektualne usluge provedbe postupka certificiranja pripadnika civilne zaštite. Trošak nabave opreme za zaštitu, za terenske vježbe, plutajuće barijere i drona, najvećim dijelom je predviđen za 2026. godinu. </w:t>
      </w:r>
      <w:r w:rsidR="007308F5">
        <w:t xml:space="preserve"> </w:t>
      </w:r>
    </w:p>
    <w:p w14:paraId="16509277" w14:textId="7F6873BB" w:rsidR="000A2CAE" w:rsidRDefault="00B95D65">
      <w:r>
        <w:t>Projekt je započeo s provedbom 1.9.2024., a završava 28.2.2027. godine.</w:t>
      </w:r>
    </w:p>
    <w:p w14:paraId="2C0F963B" w14:textId="77777777" w:rsidR="000A2CAE" w:rsidRDefault="00B95D65">
      <w:pPr>
        <w:pStyle w:val="Heading8"/>
        <w:jc w:val="left"/>
      </w:pPr>
      <w:r>
        <w:t>Pokazatelji rezultata</w:t>
      </w:r>
    </w:p>
    <w:tbl>
      <w:tblPr>
        <w:tblStyle w:val="StilTablice"/>
        <w:tblW w:w="10206" w:type="dxa"/>
        <w:jc w:val="center"/>
        <w:tblLook w:val="04A0" w:firstRow="1" w:lastRow="0" w:firstColumn="1" w:lastColumn="0" w:noHBand="0" w:noVBand="1"/>
      </w:tblPr>
      <w:tblGrid>
        <w:gridCol w:w="1987"/>
        <w:gridCol w:w="1876"/>
        <w:gridCol w:w="1783"/>
        <w:gridCol w:w="917"/>
        <w:gridCol w:w="892"/>
        <w:gridCol w:w="917"/>
        <w:gridCol w:w="917"/>
        <w:gridCol w:w="917"/>
      </w:tblGrid>
      <w:tr w:rsidR="000A2CAE" w14:paraId="28B5F967" w14:textId="77777777" w:rsidTr="007308F5">
        <w:trPr>
          <w:trHeight w:val="741"/>
          <w:jc w:val="center"/>
        </w:trPr>
        <w:tc>
          <w:tcPr>
            <w:tcW w:w="2245" w:type="dxa"/>
            <w:shd w:val="clear" w:color="auto" w:fill="B5C0D8"/>
          </w:tcPr>
          <w:p w14:paraId="6D031558" w14:textId="77777777" w:rsidR="000A2CAE" w:rsidRDefault="00B95D65">
            <w:r>
              <w:t>Pokazatelj rezultata</w:t>
            </w:r>
          </w:p>
        </w:tc>
        <w:tc>
          <w:tcPr>
            <w:tcW w:w="2245" w:type="dxa"/>
            <w:shd w:val="clear" w:color="auto" w:fill="B5C0D8"/>
          </w:tcPr>
          <w:p w14:paraId="2A56CEDA" w14:textId="77777777" w:rsidR="000A2CAE" w:rsidRDefault="00B95D65">
            <w:pPr>
              <w:pStyle w:val="CellHeader"/>
            </w:pPr>
            <w:r>
              <w:rPr>
                <w:rFonts w:cs="Times New Roman"/>
              </w:rPr>
              <w:t>Definicija</w:t>
            </w:r>
          </w:p>
        </w:tc>
        <w:tc>
          <w:tcPr>
            <w:tcW w:w="2245" w:type="dxa"/>
            <w:shd w:val="clear" w:color="auto" w:fill="B5C0D8"/>
          </w:tcPr>
          <w:p w14:paraId="5F4A3AAA" w14:textId="77777777" w:rsidR="000A2CAE" w:rsidRDefault="00B95D65">
            <w:pPr>
              <w:pStyle w:val="CellHeader"/>
            </w:pPr>
            <w:r>
              <w:rPr>
                <w:rFonts w:cs="Times New Roman"/>
              </w:rPr>
              <w:t>Jedinica</w:t>
            </w:r>
          </w:p>
        </w:tc>
        <w:tc>
          <w:tcPr>
            <w:tcW w:w="918" w:type="dxa"/>
            <w:shd w:val="clear" w:color="auto" w:fill="B5C0D8"/>
          </w:tcPr>
          <w:p w14:paraId="3DB971D0" w14:textId="77777777" w:rsidR="000A2CAE" w:rsidRDefault="00B95D65">
            <w:pPr>
              <w:pStyle w:val="CellHeader"/>
            </w:pPr>
            <w:r>
              <w:rPr>
                <w:rFonts w:cs="Times New Roman"/>
              </w:rPr>
              <w:t>Polazna vrijednost</w:t>
            </w:r>
          </w:p>
        </w:tc>
        <w:tc>
          <w:tcPr>
            <w:tcW w:w="918" w:type="dxa"/>
            <w:shd w:val="clear" w:color="auto" w:fill="B5C0D8"/>
          </w:tcPr>
          <w:p w14:paraId="0E4FFB2D" w14:textId="77777777" w:rsidR="000A2CAE" w:rsidRDefault="00B95D65">
            <w:pPr>
              <w:pStyle w:val="CellHeader"/>
            </w:pPr>
            <w:r>
              <w:rPr>
                <w:rFonts w:cs="Times New Roman"/>
              </w:rPr>
              <w:t>Izvor podataka</w:t>
            </w:r>
          </w:p>
        </w:tc>
        <w:tc>
          <w:tcPr>
            <w:tcW w:w="918" w:type="dxa"/>
            <w:shd w:val="clear" w:color="auto" w:fill="B5C0D8"/>
          </w:tcPr>
          <w:p w14:paraId="2D63B32F" w14:textId="77777777" w:rsidR="000A2CAE" w:rsidRDefault="00B95D65">
            <w:pPr>
              <w:pStyle w:val="CellHeader"/>
            </w:pPr>
            <w:r>
              <w:rPr>
                <w:rFonts w:cs="Times New Roman"/>
              </w:rPr>
              <w:t>Ciljana vrijednost (2025.)</w:t>
            </w:r>
          </w:p>
        </w:tc>
        <w:tc>
          <w:tcPr>
            <w:tcW w:w="918" w:type="dxa"/>
            <w:shd w:val="clear" w:color="auto" w:fill="B5C0D8"/>
          </w:tcPr>
          <w:p w14:paraId="64DDD0A3" w14:textId="77777777" w:rsidR="000A2CAE" w:rsidRDefault="00B95D65">
            <w:pPr>
              <w:pStyle w:val="CellHeader"/>
            </w:pPr>
            <w:r>
              <w:rPr>
                <w:rFonts w:cs="Times New Roman"/>
              </w:rPr>
              <w:t>Ciljana vrijednost (2026.)</w:t>
            </w:r>
          </w:p>
        </w:tc>
        <w:tc>
          <w:tcPr>
            <w:tcW w:w="918" w:type="dxa"/>
            <w:shd w:val="clear" w:color="auto" w:fill="B5C0D8"/>
          </w:tcPr>
          <w:p w14:paraId="2C99F0C1" w14:textId="77777777" w:rsidR="000A2CAE" w:rsidRDefault="00B95D65">
            <w:pPr>
              <w:pStyle w:val="CellHeader"/>
            </w:pPr>
            <w:r>
              <w:rPr>
                <w:rFonts w:cs="Times New Roman"/>
              </w:rPr>
              <w:t>Ciljana vrijednost (2027.)</w:t>
            </w:r>
          </w:p>
        </w:tc>
      </w:tr>
      <w:tr w:rsidR="000A2CAE" w14:paraId="66FB0AAF" w14:textId="77777777" w:rsidTr="007308F5">
        <w:trPr>
          <w:trHeight w:val="2073"/>
          <w:jc w:val="center"/>
        </w:trPr>
        <w:tc>
          <w:tcPr>
            <w:tcW w:w="2245" w:type="dxa"/>
          </w:tcPr>
          <w:p w14:paraId="682D9D5D" w14:textId="77777777" w:rsidR="000A2CAE" w:rsidRDefault="00B95D65">
            <w:pPr>
              <w:pStyle w:val="CellColumn"/>
            </w:pPr>
            <w:r>
              <w:rPr>
                <w:rFonts w:cs="Times New Roman"/>
              </w:rPr>
              <w:t>Nabava opreme za intervencije na Dunavu, obuka i definirani protokoli kojima će se poboljšati suradnja i sprječavati rizici od katastrofa u prekograničnom području rijeke Dunav</w:t>
            </w:r>
          </w:p>
        </w:tc>
        <w:tc>
          <w:tcPr>
            <w:tcW w:w="2245" w:type="dxa"/>
          </w:tcPr>
          <w:p w14:paraId="38FAD46C" w14:textId="77777777" w:rsidR="000A2CAE" w:rsidRDefault="00B95D65">
            <w:pPr>
              <w:pStyle w:val="CellColumn"/>
            </w:pPr>
            <w:r>
              <w:rPr>
                <w:rFonts w:cs="Times New Roman"/>
              </w:rPr>
              <w:t>Provedene obuke pripadnika civilne zaštite, nabavljena plutajuća barijera za zadržavanje opasnih tvari, podvodni dron i oprema za terenske vježbe</w:t>
            </w:r>
          </w:p>
        </w:tc>
        <w:tc>
          <w:tcPr>
            <w:tcW w:w="918" w:type="dxa"/>
          </w:tcPr>
          <w:p w14:paraId="09B412B2" w14:textId="77777777" w:rsidR="000A2CAE" w:rsidRDefault="00B95D65">
            <w:pPr>
              <w:pStyle w:val="CellColumn"/>
            </w:pPr>
            <w:r>
              <w:rPr>
                <w:rFonts w:cs="Times New Roman"/>
              </w:rPr>
              <w:t>%</w:t>
            </w:r>
          </w:p>
        </w:tc>
        <w:tc>
          <w:tcPr>
            <w:tcW w:w="918" w:type="dxa"/>
          </w:tcPr>
          <w:p w14:paraId="5C3DF9E0" w14:textId="77777777" w:rsidR="000A2CAE" w:rsidRDefault="00B95D65">
            <w:pPr>
              <w:pStyle w:val="CellColumn"/>
            </w:pPr>
            <w:r>
              <w:rPr>
                <w:rFonts w:cs="Times New Roman"/>
              </w:rPr>
              <w:t>0</w:t>
            </w:r>
          </w:p>
        </w:tc>
        <w:tc>
          <w:tcPr>
            <w:tcW w:w="918" w:type="dxa"/>
          </w:tcPr>
          <w:p w14:paraId="50A7DD97" w14:textId="77777777" w:rsidR="000A2CAE" w:rsidRDefault="00B95D65">
            <w:pPr>
              <w:pStyle w:val="CellColumn"/>
            </w:pPr>
            <w:r>
              <w:rPr>
                <w:rFonts w:cs="Times New Roman"/>
              </w:rPr>
              <w:t>Lučka uprava Vukovar</w:t>
            </w:r>
          </w:p>
        </w:tc>
        <w:tc>
          <w:tcPr>
            <w:tcW w:w="918" w:type="dxa"/>
          </w:tcPr>
          <w:p w14:paraId="52ECD42E" w14:textId="77777777" w:rsidR="000A2CAE" w:rsidRDefault="00B95D65">
            <w:pPr>
              <w:pStyle w:val="CellColumn"/>
            </w:pPr>
            <w:r>
              <w:rPr>
                <w:rFonts w:cs="Times New Roman"/>
              </w:rPr>
              <w:t>10</w:t>
            </w:r>
          </w:p>
        </w:tc>
        <w:tc>
          <w:tcPr>
            <w:tcW w:w="918" w:type="dxa"/>
          </w:tcPr>
          <w:p w14:paraId="6294B8E2" w14:textId="77777777" w:rsidR="000A2CAE" w:rsidRDefault="00B95D65">
            <w:pPr>
              <w:pStyle w:val="CellColumn"/>
            </w:pPr>
            <w:r>
              <w:rPr>
                <w:rFonts w:cs="Times New Roman"/>
              </w:rPr>
              <w:t>90</w:t>
            </w:r>
          </w:p>
        </w:tc>
        <w:tc>
          <w:tcPr>
            <w:tcW w:w="918" w:type="dxa"/>
          </w:tcPr>
          <w:p w14:paraId="7E859D93" w14:textId="77777777" w:rsidR="000A2CAE" w:rsidRDefault="00B95D65">
            <w:pPr>
              <w:pStyle w:val="CellColumn"/>
            </w:pPr>
            <w:r>
              <w:rPr>
                <w:rFonts w:cs="Times New Roman"/>
              </w:rPr>
              <w:t>100</w:t>
            </w:r>
          </w:p>
        </w:tc>
      </w:tr>
    </w:tbl>
    <w:p w14:paraId="36F10B25" w14:textId="77777777" w:rsidR="0089338A" w:rsidRDefault="0089338A" w:rsidP="007308F5">
      <w:pPr>
        <w:jc w:val="center"/>
      </w:pPr>
    </w:p>
    <w:p w14:paraId="3FCF02BC" w14:textId="3E6B56E3" w:rsidR="007308F5" w:rsidRDefault="007308F5" w:rsidP="007308F5">
      <w:pPr>
        <w:jc w:val="center"/>
      </w:pPr>
      <w:r>
        <w:t xml:space="preserve">                                                                         </w:t>
      </w:r>
    </w:p>
    <w:p w14:paraId="59E85802" w14:textId="2C8A45F0" w:rsidR="00362F0C" w:rsidRPr="00362F0C" w:rsidRDefault="00362F0C" w:rsidP="00362F0C">
      <w:pPr>
        <w:rPr>
          <w:lang w:val="hr-HR"/>
        </w:rPr>
      </w:pPr>
      <w:r w:rsidRPr="00362F0C">
        <w:rPr>
          <w:lang w:val="hr-HR"/>
        </w:rPr>
        <w:t>KLASA: 400-02/24-1/01</w:t>
      </w:r>
      <w:r>
        <w:rPr>
          <w:lang w:val="hr-HR"/>
        </w:rPr>
        <w:t xml:space="preserve">                                                                                         </w:t>
      </w:r>
      <w:r>
        <w:t xml:space="preserve">    Ravnatelj</w:t>
      </w:r>
    </w:p>
    <w:p w14:paraId="41569E91" w14:textId="3E7AB2A9" w:rsidR="007308F5" w:rsidRDefault="00362F0C" w:rsidP="00362F0C">
      <w:r w:rsidRPr="00362F0C">
        <w:rPr>
          <w:lang w:val="hr-HR"/>
        </w:rPr>
        <w:t>URBROJ: 132-04/MMA-24-22</w:t>
      </w:r>
      <w:r>
        <w:rPr>
          <w:lang w:val="hr-HR"/>
        </w:rPr>
        <w:t xml:space="preserve">                                                                  </w:t>
      </w:r>
      <w:r>
        <w:t>Grgo Sabljić, struč.spec.ing.sec.</w:t>
      </w:r>
    </w:p>
    <w:sectPr w:rsidR="007308F5" w:rsidSect="00F91724">
      <w:headerReference w:type="default" r:id="rId8"/>
      <w:footerReference w:type="default" r:id="rId9"/>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A6AE8" w14:textId="77777777" w:rsidR="00A00F45" w:rsidRDefault="00A00F45" w:rsidP="00F352E6">
      <w:r>
        <w:separator/>
      </w:r>
    </w:p>
  </w:endnote>
  <w:endnote w:type="continuationSeparator" w:id="0">
    <w:p w14:paraId="7BAF2FD1" w14:textId="77777777" w:rsidR="00A00F45" w:rsidRDefault="00A00F45" w:rsidP="00F3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796DD" w14:textId="77777777" w:rsidR="00131FB8" w:rsidRPr="00D769ED" w:rsidRDefault="00131FB8" w:rsidP="007D4430">
    <w:pPr>
      <w:pStyle w:val="Footer"/>
      <w:pBdr>
        <w:top w:val="none" w:sz="0" w:space="0"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0B935" w14:textId="77777777" w:rsidR="00A00F45" w:rsidRDefault="00A00F45" w:rsidP="00F352E6">
      <w:r>
        <w:separator/>
      </w:r>
    </w:p>
  </w:footnote>
  <w:footnote w:type="continuationSeparator" w:id="0">
    <w:p w14:paraId="496F5CC5" w14:textId="77777777" w:rsidR="00A00F45" w:rsidRDefault="00A00F45" w:rsidP="00F35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09FC4" w14:textId="77777777" w:rsidR="00131FB8" w:rsidRDefault="00131FB8" w:rsidP="00A70582">
    <w:pPr>
      <w:pStyle w:val="Header"/>
      <w:pBdr>
        <w:bottom w:val="none" w:sz="0" w:space="0" w:color="auto"/>
      </w:pBdr>
      <w:tabs>
        <w:tab w:val="clear" w:pos="9072"/>
        <w:tab w:val="right" w:pos="9540"/>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DB2C55"/>
    <w:multiLevelType w:val="hybridMultilevel"/>
    <w:tmpl w:val="AF36384A"/>
    <w:lvl w:ilvl="0" w:tplc="2F8A2A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27977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C76"/>
    <w:rsid w:val="00013A1A"/>
    <w:rsid w:val="0002533C"/>
    <w:rsid w:val="000352D6"/>
    <w:rsid w:val="000A2CAE"/>
    <w:rsid w:val="000B12A9"/>
    <w:rsid w:val="000C0A6C"/>
    <w:rsid w:val="0010779D"/>
    <w:rsid w:val="0013155A"/>
    <w:rsid w:val="00131FB8"/>
    <w:rsid w:val="0017490A"/>
    <w:rsid w:val="00177B75"/>
    <w:rsid w:val="001947BE"/>
    <w:rsid w:val="001E4BC1"/>
    <w:rsid w:val="001E5246"/>
    <w:rsid w:val="0027042C"/>
    <w:rsid w:val="002D0B7C"/>
    <w:rsid w:val="00304B56"/>
    <w:rsid w:val="00311AA1"/>
    <w:rsid w:val="00362F0C"/>
    <w:rsid w:val="00382225"/>
    <w:rsid w:val="00386953"/>
    <w:rsid w:val="00463609"/>
    <w:rsid w:val="00475475"/>
    <w:rsid w:val="00480C76"/>
    <w:rsid w:val="004C01B5"/>
    <w:rsid w:val="0052289C"/>
    <w:rsid w:val="00524A66"/>
    <w:rsid w:val="00526A7C"/>
    <w:rsid w:val="0059071A"/>
    <w:rsid w:val="005A70C0"/>
    <w:rsid w:val="005B6ED7"/>
    <w:rsid w:val="005E2D85"/>
    <w:rsid w:val="00633683"/>
    <w:rsid w:val="00674346"/>
    <w:rsid w:val="006B3283"/>
    <w:rsid w:val="007308F5"/>
    <w:rsid w:val="007665AA"/>
    <w:rsid w:val="007A7E45"/>
    <w:rsid w:val="007D1C46"/>
    <w:rsid w:val="007D395B"/>
    <w:rsid w:val="007D4430"/>
    <w:rsid w:val="00847495"/>
    <w:rsid w:val="008636E2"/>
    <w:rsid w:val="0089338A"/>
    <w:rsid w:val="008A2397"/>
    <w:rsid w:val="008A7E2A"/>
    <w:rsid w:val="008C5C3B"/>
    <w:rsid w:val="009359F2"/>
    <w:rsid w:val="0094382E"/>
    <w:rsid w:val="00951B1A"/>
    <w:rsid w:val="00994455"/>
    <w:rsid w:val="009D1766"/>
    <w:rsid w:val="009E33D3"/>
    <w:rsid w:val="00A00F45"/>
    <w:rsid w:val="00A021A2"/>
    <w:rsid w:val="00A320E5"/>
    <w:rsid w:val="00A70582"/>
    <w:rsid w:val="00AB5FEA"/>
    <w:rsid w:val="00AB7B4E"/>
    <w:rsid w:val="00AC3361"/>
    <w:rsid w:val="00B15946"/>
    <w:rsid w:val="00B2737F"/>
    <w:rsid w:val="00B31E2E"/>
    <w:rsid w:val="00B41BF8"/>
    <w:rsid w:val="00B95D65"/>
    <w:rsid w:val="00B97033"/>
    <w:rsid w:val="00BA487B"/>
    <w:rsid w:val="00BA7BD1"/>
    <w:rsid w:val="00BB642B"/>
    <w:rsid w:val="00BF02E9"/>
    <w:rsid w:val="00BF3F24"/>
    <w:rsid w:val="00C7470A"/>
    <w:rsid w:val="00D041A4"/>
    <w:rsid w:val="00D1158B"/>
    <w:rsid w:val="00D153C8"/>
    <w:rsid w:val="00DE2416"/>
    <w:rsid w:val="00E42E87"/>
    <w:rsid w:val="00E62EF0"/>
    <w:rsid w:val="00EC739F"/>
    <w:rsid w:val="00ED0E3A"/>
    <w:rsid w:val="00F24959"/>
    <w:rsid w:val="00F352E6"/>
    <w:rsid w:val="00F67315"/>
    <w:rsid w:val="00F91724"/>
    <w:rsid w:val="00F92AEE"/>
    <w:rsid w:val="00FE4B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C55EE"/>
  <w15:docId w15:val="{8B5D75BC-09A8-4A24-AF6B-EA091288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FEA"/>
    <w:pPr>
      <w:overflowPunct w:val="0"/>
      <w:autoSpaceDE w:val="0"/>
      <w:autoSpaceDN w:val="0"/>
      <w:adjustRightInd w:val="0"/>
      <w:spacing w:after="120" w:line="240" w:lineRule="auto"/>
      <w:jc w:val="both"/>
      <w:textAlignment w:val="baseline"/>
    </w:pPr>
    <w:rPr>
      <w:rFonts w:ascii="Times New Roman" w:eastAsia="Times New Roman" w:hAnsi="Times New Roman" w:cs="Times New Roman"/>
      <w:szCs w:val="20"/>
      <w:lang w:val="sl-SI"/>
    </w:rPr>
  </w:style>
  <w:style w:type="paragraph" w:styleId="Heading1">
    <w:name w:val="heading 1"/>
    <w:basedOn w:val="Normal"/>
    <w:next w:val="Normal"/>
    <w:link w:val="Heading1Char"/>
    <w:qFormat/>
    <w:rsid w:val="00951B1A"/>
    <w:pPr>
      <w:keepNext/>
      <w:keepLines/>
      <w:pBdr>
        <w:top w:val="single" w:sz="4" w:space="1" w:color="auto"/>
        <w:bottom w:val="single" w:sz="4" w:space="1" w:color="auto"/>
      </w:pBdr>
      <w:shd w:val="clear" w:color="auto" w:fill="E6E6E6"/>
      <w:jc w:val="left"/>
      <w:outlineLvl w:val="0"/>
    </w:pPr>
    <w:rPr>
      <w:b/>
      <w:spacing w:val="20"/>
      <w:sz w:val="32"/>
      <w:szCs w:val="32"/>
    </w:rPr>
  </w:style>
  <w:style w:type="paragraph" w:styleId="Heading2">
    <w:name w:val="heading 2"/>
    <w:basedOn w:val="Normal"/>
    <w:next w:val="Normal"/>
    <w:link w:val="Heading2Char"/>
    <w:qFormat/>
    <w:rsid w:val="00E62EF0"/>
    <w:pPr>
      <w:keepNext/>
      <w:keepLines/>
      <w:pBdr>
        <w:top w:val="single" w:sz="4" w:space="1" w:color="auto"/>
        <w:bottom w:val="single" w:sz="4" w:space="1" w:color="auto"/>
      </w:pBdr>
      <w:shd w:val="clear" w:color="auto" w:fill="E6E6E6"/>
      <w:jc w:val="left"/>
      <w:outlineLvl w:val="1"/>
    </w:pPr>
    <w:rPr>
      <w:b/>
      <w:spacing w:val="20"/>
      <w:sz w:val="30"/>
      <w:szCs w:val="30"/>
    </w:rPr>
  </w:style>
  <w:style w:type="paragraph" w:styleId="Heading3">
    <w:name w:val="heading 3"/>
    <w:basedOn w:val="Normal"/>
    <w:next w:val="Normal"/>
    <w:link w:val="Heading3Char"/>
    <w:qFormat/>
    <w:rsid w:val="00FE4B89"/>
    <w:pPr>
      <w:keepNext/>
      <w:keepLines/>
      <w:pBdr>
        <w:top w:val="single" w:sz="4" w:space="1" w:color="auto"/>
        <w:bottom w:val="single" w:sz="4" w:space="1" w:color="auto"/>
      </w:pBdr>
      <w:shd w:val="clear" w:color="auto" w:fill="E6E6E6"/>
      <w:overflowPunct/>
      <w:autoSpaceDE/>
      <w:autoSpaceDN/>
      <w:adjustRightInd/>
      <w:spacing w:line="288" w:lineRule="auto"/>
      <w:jc w:val="left"/>
      <w:textAlignment w:val="auto"/>
      <w:outlineLvl w:val="2"/>
    </w:pPr>
    <w:rPr>
      <w:rFonts w:cs="Arial"/>
      <w:b/>
      <w:iCs/>
      <w:spacing w:val="20"/>
      <w:sz w:val="28"/>
      <w:szCs w:val="28"/>
    </w:rPr>
  </w:style>
  <w:style w:type="paragraph" w:styleId="Heading4">
    <w:name w:val="heading 4"/>
    <w:basedOn w:val="Normal"/>
    <w:next w:val="Normal"/>
    <w:link w:val="Heading4Char"/>
    <w:qFormat/>
    <w:rsid w:val="00951B1A"/>
    <w:pPr>
      <w:keepNext/>
      <w:keepLines/>
      <w:pBdr>
        <w:top w:val="single" w:sz="4" w:space="1" w:color="auto"/>
        <w:bottom w:val="single" w:sz="4" w:space="1" w:color="auto"/>
      </w:pBdr>
      <w:overflowPunct/>
      <w:autoSpaceDE/>
      <w:autoSpaceDN/>
      <w:adjustRightInd/>
      <w:jc w:val="left"/>
      <w:textAlignment w:val="auto"/>
      <w:outlineLvl w:val="3"/>
    </w:pPr>
    <w:rPr>
      <w:b/>
      <w:bCs/>
      <w:sz w:val="28"/>
      <w:szCs w:val="28"/>
    </w:rPr>
  </w:style>
  <w:style w:type="paragraph" w:styleId="Heading5">
    <w:name w:val="heading 5"/>
    <w:basedOn w:val="Normal"/>
    <w:next w:val="Normal"/>
    <w:link w:val="Heading5Char"/>
    <w:qFormat/>
    <w:rsid w:val="00E62EF0"/>
    <w:pPr>
      <w:keepNext/>
      <w:keepLines/>
      <w:jc w:val="left"/>
      <w:outlineLvl w:val="4"/>
    </w:pPr>
    <w:rPr>
      <w:b/>
      <w:sz w:val="26"/>
      <w:szCs w:val="26"/>
    </w:rPr>
  </w:style>
  <w:style w:type="paragraph" w:styleId="Heading6">
    <w:name w:val="heading 6"/>
    <w:basedOn w:val="Normal"/>
    <w:next w:val="Normal"/>
    <w:link w:val="Heading6Char"/>
    <w:qFormat/>
    <w:rsid w:val="00E62EF0"/>
    <w:pPr>
      <w:keepNext/>
      <w:keepLines/>
      <w:jc w:val="left"/>
      <w:outlineLvl w:val="5"/>
    </w:pPr>
    <w:rPr>
      <w:b/>
      <w:sz w:val="24"/>
      <w:szCs w:val="24"/>
    </w:rPr>
  </w:style>
  <w:style w:type="paragraph" w:styleId="Heading7">
    <w:name w:val="heading 7"/>
    <w:basedOn w:val="Normal"/>
    <w:next w:val="Normal"/>
    <w:link w:val="Heading7Char"/>
    <w:qFormat/>
    <w:rsid w:val="00E62EF0"/>
    <w:pPr>
      <w:keepNext/>
      <w:jc w:val="left"/>
      <w:outlineLvl w:val="6"/>
    </w:pPr>
    <w:rPr>
      <w:b/>
      <w:spacing w:val="24"/>
      <w:szCs w:val="22"/>
    </w:rPr>
  </w:style>
  <w:style w:type="paragraph" w:styleId="Heading8">
    <w:name w:val="heading 8"/>
    <w:basedOn w:val="Normal6"/>
    <w:next w:val="Normal"/>
    <w:link w:val="Heading8Char"/>
    <w:uiPriority w:val="9"/>
    <w:unhideWhenUsed/>
    <w:qFormat/>
    <w:rsid w:val="00E62EF0"/>
    <w:pPr>
      <w:keepNext/>
      <w:keepLines/>
      <w:ind w:left="0"/>
      <w:outlineLvl w:val="7"/>
    </w:pPr>
    <w:rPr>
      <w:b/>
    </w:rPr>
  </w:style>
  <w:style w:type="paragraph" w:styleId="Heading9">
    <w:name w:val="heading 9"/>
    <w:basedOn w:val="Normal"/>
    <w:next w:val="Normal"/>
    <w:link w:val="Heading9Char"/>
    <w:uiPriority w:val="9"/>
    <w:unhideWhenUsed/>
    <w:qFormat/>
    <w:rsid w:val="00E62EF0"/>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1B1A"/>
    <w:rPr>
      <w:rFonts w:ascii="Times New Roman" w:eastAsia="Times New Roman" w:hAnsi="Times New Roman" w:cs="Times New Roman"/>
      <w:b/>
      <w:spacing w:val="20"/>
      <w:sz w:val="32"/>
      <w:szCs w:val="32"/>
      <w:shd w:val="clear" w:color="auto" w:fill="E6E6E6"/>
      <w:lang w:val="sl-SI"/>
    </w:rPr>
  </w:style>
  <w:style w:type="character" w:customStyle="1" w:styleId="Heading2Char">
    <w:name w:val="Heading 2 Char"/>
    <w:basedOn w:val="DefaultParagraphFont"/>
    <w:link w:val="Heading2"/>
    <w:rsid w:val="00E62EF0"/>
    <w:rPr>
      <w:rFonts w:ascii="Times New Roman" w:eastAsia="Times New Roman" w:hAnsi="Times New Roman" w:cs="Times New Roman"/>
      <w:b/>
      <w:spacing w:val="20"/>
      <w:sz w:val="30"/>
      <w:szCs w:val="30"/>
      <w:shd w:val="clear" w:color="auto" w:fill="E6E6E6"/>
      <w:lang w:val="sl-SI"/>
    </w:rPr>
  </w:style>
  <w:style w:type="character" w:customStyle="1" w:styleId="Heading3Char">
    <w:name w:val="Heading 3 Char"/>
    <w:basedOn w:val="DefaultParagraphFont"/>
    <w:link w:val="Heading3"/>
    <w:rsid w:val="00FE4B89"/>
    <w:rPr>
      <w:rFonts w:ascii="Times New Roman" w:eastAsia="Times New Roman" w:hAnsi="Times New Roman" w:cs="Arial"/>
      <w:b/>
      <w:iCs/>
      <w:spacing w:val="20"/>
      <w:sz w:val="28"/>
      <w:szCs w:val="28"/>
      <w:shd w:val="clear" w:color="auto" w:fill="E6E6E6"/>
      <w:lang w:val="sl-SI"/>
    </w:rPr>
  </w:style>
  <w:style w:type="character" w:customStyle="1" w:styleId="Heading4Char">
    <w:name w:val="Heading 4 Char"/>
    <w:basedOn w:val="DefaultParagraphFont"/>
    <w:link w:val="Heading4"/>
    <w:rsid w:val="00951B1A"/>
    <w:rPr>
      <w:rFonts w:ascii="Times New Roman" w:eastAsia="Times New Roman" w:hAnsi="Times New Roman" w:cs="Times New Roman"/>
      <w:b/>
      <w:bCs/>
      <w:sz w:val="28"/>
      <w:szCs w:val="28"/>
      <w:lang w:val="sl-SI"/>
    </w:rPr>
  </w:style>
  <w:style w:type="character" w:customStyle="1" w:styleId="Heading5Char">
    <w:name w:val="Heading 5 Char"/>
    <w:basedOn w:val="DefaultParagraphFont"/>
    <w:link w:val="Heading5"/>
    <w:rsid w:val="00E62EF0"/>
    <w:rPr>
      <w:rFonts w:ascii="Times New Roman" w:eastAsia="Times New Roman" w:hAnsi="Times New Roman" w:cs="Times New Roman"/>
      <w:b/>
      <w:sz w:val="26"/>
      <w:szCs w:val="26"/>
      <w:lang w:val="sl-SI"/>
    </w:rPr>
  </w:style>
  <w:style w:type="character" w:customStyle="1" w:styleId="Heading6Char">
    <w:name w:val="Heading 6 Char"/>
    <w:basedOn w:val="DefaultParagraphFont"/>
    <w:link w:val="Heading6"/>
    <w:rsid w:val="00E62EF0"/>
    <w:rPr>
      <w:rFonts w:ascii="Times New Roman" w:eastAsia="Times New Roman" w:hAnsi="Times New Roman" w:cs="Times New Roman"/>
      <w:b/>
      <w:sz w:val="24"/>
      <w:szCs w:val="24"/>
      <w:lang w:val="sl-SI"/>
    </w:rPr>
  </w:style>
  <w:style w:type="character" w:customStyle="1" w:styleId="Heading7Char">
    <w:name w:val="Heading 7 Char"/>
    <w:basedOn w:val="DefaultParagraphFont"/>
    <w:link w:val="Heading7"/>
    <w:rsid w:val="00E62EF0"/>
    <w:rPr>
      <w:rFonts w:ascii="Times New Roman" w:eastAsia="Times New Roman" w:hAnsi="Times New Roman" w:cs="Times New Roman"/>
      <w:b/>
      <w:spacing w:val="24"/>
      <w:lang w:val="sl-SI"/>
    </w:rPr>
  </w:style>
  <w:style w:type="paragraph" w:customStyle="1" w:styleId="KAZALO">
    <w:name w:val="KAZALO"/>
    <w:basedOn w:val="Normal"/>
    <w:rsid w:val="00480C76"/>
    <w:pPr>
      <w:keepNext/>
      <w:spacing w:after="240"/>
      <w:jc w:val="center"/>
    </w:pPr>
    <w:rPr>
      <w:b/>
      <w:bCs/>
      <w:sz w:val="32"/>
      <w:szCs w:val="32"/>
    </w:rPr>
  </w:style>
  <w:style w:type="paragraph" w:styleId="Header">
    <w:name w:val="header"/>
    <w:basedOn w:val="Normal"/>
    <w:link w:val="HeaderChar"/>
    <w:semiHidden/>
    <w:rsid w:val="00480C76"/>
    <w:pPr>
      <w:pBdr>
        <w:bottom w:val="single" w:sz="4" w:space="1" w:color="auto"/>
      </w:pBdr>
      <w:tabs>
        <w:tab w:val="center" w:pos="4536"/>
        <w:tab w:val="right" w:pos="9072"/>
      </w:tabs>
    </w:pPr>
    <w:rPr>
      <w:sz w:val="16"/>
    </w:rPr>
  </w:style>
  <w:style w:type="character" w:customStyle="1" w:styleId="HeaderChar">
    <w:name w:val="Header Char"/>
    <w:basedOn w:val="DefaultParagraphFont"/>
    <w:link w:val="Header"/>
    <w:semiHidden/>
    <w:rsid w:val="00480C76"/>
    <w:rPr>
      <w:rFonts w:ascii="Times New Roman" w:eastAsia="Times New Roman" w:hAnsi="Times New Roman" w:cs="Times New Roman"/>
      <w:sz w:val="16"/>
      <w:szCs w:val="20"/>
      <w:lang w:val="sl-SI"/>
    </w:rPr>
  </w:style>
  <w:style w:type="paragraph" w:styleId="Footer">
    <w:name w:val="footer"/>
    <w:basedOn w:val="Normal"/>
    <w:link w:val="FooterChar"/>
    <w:semiHidden/>
    <w:rsid w:val="00480C76"/>
    <w:pPr>
      <w:pBdr>
        <w:top w:val="single" w:sz="4" w:space="1" w:color="auto"/>
      </w:pBdr>
      <w:tabs>
        <w:tab w:val="right" w:pos="9540"/>
      </w:tabs>
      <w:ind w:right="-21"/>
      <w:jc w:val="left"/>
    </w:pPr>
    <w:rPr>
      <w:sz w:val="20"/>
    </w:rPr>
  </w:style>
  <w:style w:type="character" w:customStyle="1" w:styleId="FooterChar">
    <w:name w:val="Footer Char"/>
    <w:basedOn w:val="DefaultParagraphFont"/>
    <w:link w:val="Footer"/>
    <w:semiHidden/>
    <w:rsid w:val="00480C76"/>
    <w:rPr>
      <w:rFonts w:ascii="Times New Roman" w:eastAsia="Times New Roman" w:hAnsi="Times New Roman" w:cs="Times New Roman"/>
      <w:sz w:val="20"/>
      <w:szCs w:val="20"/>
      <w:lang w:val="sl-SI"/>
    </w:rPr>
  </w:style>
  <w:style w:type="character" w:styleId="PageNumber">
    <w:name w:val="page number"/>
    <w:basedOn w:val="DefaultParagraphFont"/>
    <w:semiHidden/>
    <w:rsid w:val="00480C76"/>
  </w:style>
  <w:style w:type="paragraph" w:customStyle="1" w:styleId="Normal3">
    <w:name w:val="Normal 3"/>
    <w:basedOn w:val="Normal"/>
    <w:link w:val="Normal3Char"/>
    <w:rsid w:val="00480C76"/>
    <w:pPr>
      <w:ind w:left="360"/>
    </w:pPr>
  </w:style>
  <w:style w:type="paragraph" w:customStyle="1" w:styleId="Normal4">
    <w:name w:val="Normal 4"/>
    <w:basedOn w:val="Normal"/>
    <w:link w:val="Normal4Char"/>
    <w:rsid w:val="00480C76"/>
    <w:pPr>
      <w:ind w:left="540"/>
    </w:pPr>
  </w:style>
  <w:style w:type="paragraph" w:customStyle="1" w:styleId="Normal5">
    <w:name w:val="Normal 5"/>
    <w:basedOn w:val="Normal"/>
    <w:link w:val="Normal5Char"/>
    <w:rsid w:val="00480C76"/>
    <w:pPr>
      <w:ind w:left="720"/>
    </w:pPr>
  </w:style>
  <w:style w:type="paragraph" w:customStyle="1" w:styleId="Normal6">
    <w:name w:val="Normal 6"/>
    <w:basedOn w:val="Normal"/>
    <w:link w:val="Normal6Char"/>
    <w:rsid w:val="00480C76"/>
    <w:pPr>
      <w:ind w:left="1080"/>
    </w:pPr>
  </w:style>
  <w:style w:type="character" w:customStyle="1" w:styleId="Normal3Char">
    <w:name w:val="Normal 3 Char"/>
    <w:basedOn w:val="DefaultParagraphFont"/>
    <w:link w:val="Normal3"/>
    <w:rsid w:val="00480C76"/>
    <w:rPr>
      <w:rFonts w:ascii="Times New Roman" w:eastAsia="Times New Roman" w:hAnsi="Times New Roman" w:cs="Times New Roman"/>
      <w:szCs w:val="20"/>
      <w:lang w:val="sl-SI"/>
    </w:rPr>
  </w:style>
  <w:style w:type="character" w:customStyle="1" w:styleId="Normal5Char">
    <w:name w:val="Normal 5 Char"/>
    <w:basedOn w:val="DefaultParagraphFont"/>
    <w:link w:val="Normal5"/>
    <w:rsid w:val="00480C76"/>
    <w:rPr>
      <w:rFonts w:ascii="Times New Roman" w:eastAsia="Times New Roman" w:hAnsi="Times New Roman" w:cs="Times New Roman"/>
      <w:szCs w:val="20"/>
      <w:lang w:val="sl-SI"/>
    </w:rPr>
  </w:style>
  <w:style w:type="character" w:customStyle="1" w:styleId="Normal4Char">
    <w:name w:val="Normal 4 Char"/>
    <w:basedOn w:val="DefaultParagraphFont"/>
    <w:link w:val="Normal4"/>
    <w:rsid w:val="00480C76"/>
    <w:rPr>
      <w:rFonts w:ascii="Times New Roman" w:eastAsia="Times New Roman" w:hAnsi="Times New Roman" w:cs="Times New Roman"/>
      <w:szCs w:val="20"/>
      <w:lang w:val="sl-SI"/>
    </w:rPr>
  </w:style>
  <w:style w:type="character" w:styleId="Emphasis">
    <w:name w:val="Emphasis"/>
    <w:basedOn w:val="DefaultParagraphFont"/>
    <w:qFormat/>
    <w:rsid w:val="00480C76"/>
    <w:rPr>
      <w:b/>
      <w:bCs/>
      <w:i w:val="0"/>
      <w:iCs w:val="0"/>
    </w:rPr>
  </w:style>
  <w:style w:type="character" w:styleId="Strong">
    <w:name w:val="Strong"/>
    <w:basedOn w:val="DefaultParagraphFont"/>
    <w:qFormat/>
    <w:rsid w:val="00480C76"/>
    <w:rPr>
      <w:b/>
      <w:bCs/>
    </w:rPr>
  </w:style>
  <w:style w:type="character" w:styleId="Hyperlink">
    <w:name w:val="Hyperlink"/>
    <w:basedOn w:val="DefaultParagraphFont"/>
    <w:rsid w:val="00480C76"/>
    <w:rPr>
      <w:color w:val="0000FF"/>
      <w:u w:val="single"/>
    </w:rPr>
  </w:style>
  <w:style w:type="table" w:styleId="TableGrid">
    <w:name w:val="Table Grid"/>
    <w:basedOn w:val="TableNormal"/>
    <w:rsid w:val="00480C7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6Char">
    <w:name w:val="Normal 6 Char"/>
    <w:basedOn w:val="DefaultParagraphFont"/>
    <w:link w:val="Normal6"/>
    <w:rsid w:val="00480C76"/>
    <w:rPr>
      <w:rFonts w:ascii="Times New Roman" w:eastAsia="Times New Roman" w:hAnsi="Times New Roman" w:cs="Times New Roman"/>
      <w:szCs w:val="20"/>
      <w:lang w:val="sl-SI"/>
    </w:rPr>
  </w:style>
  <w:style w:type="paragraph" w:customStyle="1" w:styleId="CellHeader">
    <w:name w:val="CellHeader"/>
    <w:basedOn w:val="Normal"/>
    <w:qFormat/>
    <w:rsid w:val="00BB642B"/>
    <w:rPr>
      <w:rFonts w:cs="Arial"/>
      <w:bCs/>
      <w:sz w:val="20"/>
      <w:szCs w:val="22"/>
      <w:lang w:eastAsia="hr-HR"/>
    </w:rPr>
  </w:style>
  <w:style w:type="paragraph" w:customStyle="1" w:styleId="CellColumn">
    <w:name w:val="CellColumn"/>
    <w:basedOn w:val="CellHeader"/>
    <w:qFormat/>
    <w:rsid w:val="00BB642B"/>
  </w:style>
  <w:style w:type="character" w:customStyle="1" w:styleId="Heading8Char">
    <w:name w:val="Heading 8 Char"/>
    <w:basedOn w:val="DefaultParagraphFont"/>
    <w:link w:val="Heading8"/>
    <w:uiPriority w:val="9"/>
    <w:rsid w:val="00E62EF0"/>
    <w:rPr>
      <w:rFonts w:ascii="Times New Roman" w:eastAsia="Times New Roman" w:hAnsi="Times New Roman" w:cs="Times New Roman"/>
      <w:b/>
      <w:szCs w:val="20"/>
      <w:lang w:val="sl-SI"/>
    </w:rPr>
  </w:style>
  <w:style w:type="character" w:customStyle="1" w:styleId="Heading9Char">
    <w:name w:val="Heading 9 Char"/>
    <w:basedOn w:val="DefaultParagraphFont"/>
    <w:link w:val="Heading9"/>
    <w:uiPriority w:val="9"/>
    <w:rsid w:val="00E62EF0"/>
    <w:rPr>
      <w:rFonts w:asciiTheme="majorHAnsi" w:eastAsiaTheme="majorEastAsia" w:hAnsiTheme="majorHAnsi" w:cstheme="majorBidi"/>
      <w:i/>
      <w:iCs/>
      <w:color w:val="272727" w:themeColor="text1" w:themeTint="D8"/>
      <w:sz w:val="21"/>
      <w:szCs w:val="21"/>
      <w:lang w:val="sl-SI"/>
    </w:rPr>
  </w:style>
  <w:style w:type="table" w:customStyle="1" w:styleId="Style1">
    <w:name w:val="Style1"/>
    <w:basedOn w:val="TableNormal"/>
    <w:uiPriority w:val="99"/>
    <w:rsid w:val="007A7E45"/>
    <w:pPr>
      <w:keepLines/>
      <w:spacing w:after="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tblStylePr w:type="firstRow">
      <w:pPr>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style>
  <w:style w:type="table" w:customStyle="1" w:styleId="StilTablice">
    <w:name w:val="StilTablice"/>
    <w:basedOn w:val="TableNormal"/>
    <w:uiPriority w:val="99"/>
    <w:rsid w:val="00ED0E3A"/>
    <w:pPr>
      <w:spacing w:after="12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paragraph" w:customStyle="1" w:styleId="NormalSpecial">
    <w:name w:val="NormalSpecial"/>
    <w:basedOn w:val="Normal"/>
    <w:next w:val="Normal"/>
    <w:qFormat/>
    <w:rsid w:val="0027042C"/>
    <w:pPr>
      <w:keepNext/>
      <w:spacing w:after="0"/>
    </w:pPr>
    <w:rPr>
      <w:sz w:val="20"/>
    </w:rPr>
  </w:style>
  <w:style w:type="paragraph" w:styleId="NoSpacing">
    <w:name w:val="No Spacing"/>
    <w:uiPriority w:val="1"/>
    <w:qFormat/>
    <w:rsid w:val="007308F5"/>
    <w:pPr>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964940">
      <w:bodyDiv w:val="1"/>
      <w:marLeft w:val="0"/>
      <w:marRight w:val="0"/>
      <w:marTop w:val="0"/>
      <w:marBottom w:val="0"/>
      <w:divBdr>
        <w:top w:val="none" w:sz="0" w:space="0" w:color="auto"/>
        <w:left w:val="none" w:sz="0" w:space="0" w:color="auto"/>
        <w:bottom w:val="none" w:sz="0" w:space="0" w:color="auto"/>
        <w:right w:val="none" w:sz="0" w:space="0" w:color="auto"/>
      </w:divBdr>
    </w:div>
    <w:div w:id="76592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35C74-F0A5-43D9-90B4-B27B2CF5F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10</Pages>
  <Words>4176</Words>
  <Characters>23806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Marasović</dc:creator>
  <cp:lastModifiedBy>Maria Mandarić</cp:lastModifiedBy>
  <cp:revision>15</cp:revision>
  <cp:lastPrinted>2024-11-08T13:30:00Z</cp:lastPrinted>
  <dcterms:created xsi:type="dcterms:W3CDTF">2024-11-08T13:11:00Z</dcterms:created>
  <dcterms:modified xsi:type="dcterms:W3CDTF">2024-11-22T14:13:00Z</dcterms:modified>
</cp:coreProperties>
</file>