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1B45" w14:textId="4DD58F15" w:rsidR="002A0587" w:rsidRPr="002A0587" w:rsidRDefault="002A0587" w:rsidP="002A0587">
      <w:pPr>
        <w:jc w:val="center"/>
        <w:rPr>
          <w:rFonts w:eastAsia="Calibri"/>
          <w:b/>
          <w:bCs/>
          <w:sz w:val="28"/>
          <w:szCs w:val="28"/>
        </w:rPr>
      </w:pPr>
      <w:r w:rsidRPr="002A0587">
        <w:rPr>
          <w:rFonts w:eastAsia="Calibri"/>
          <w:b/>
          <w:bCs/>
          <w:sz w:val="28"/>
          <w:szCs w:val="28"/>
        </w:rPr>
        <w:t>OBRAZLOŽENJE POSEBNOG DIJELA IZVJEŠTAJA O IZVRŠENJU FINANCIJSKOG PLANA LUČKE UPRAVE VUKOVAR ZA 2023. GODINU</w:t>
      </w:r>
    </w:p>
    <w:p w14:paraId="0493D3E2" w14:textId="77777777" w:rsidR="007A7E45" w:rsidRPr="00FE4B89" w:rsidRDefault="007A7E45" w:rsidP="00FE4B89"/>
    <w:p w14:paraId="3634441E" w14:textId="77777777" w:rsidR="00BF394B" w:rsidRDefault="00BF1667">
      <w:pPr>
        <w:pStyle w:val="Naslov3"/>
      </w:pPr>
      <w:r>
        <w:rPr>
          <w:rFonts w:cs="Times New Roman"/>
        </w:rPr>
        <w:t>51280 Javna ustanova Lučka uprava Vukovar</w:t>
      </w:r>
    </w:p>
    <w:p w14:paraId="0E260386" w14:textId="77777777" w:rsidR="00BF394B" w:rsidRDefault="00BF1667">
      <w:r>
        <w:t xml:space="preserve">Lučka uprava Vukovar je javna ustanova za upravljanje lukama i pristaništima na rijeci Dunav. Osnovana je od strane Republike Hrvatske 2001. godine na temelju Zakona o plovidbi i lukama unutarnjih voda.   </w:t>
      </w:r>
    </w:p>
    <w:p w14:paraId="6361F03D" w14:textId="77777777" w:rsidR="00BF394B" w:rsidRDefault="00BF1667">
      <w:r>
        <w:t>Lučka uprava Vukovar obavlja poslove izgradnje i modernizacije lučkih građevina, održavanje zajedničkih lučkih građevina, davanje koncesija za obavljanje lučkih djelatnosti, nadzor nad radom koncesionara, provođenje reda u luci, zaštita okoliša u luci,  marketing i promociju lučkog prometnog pravca na transportnom tržištu, izradu prijedloga planskih dokumenata za razvitak lučkog sustava i dr.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815"/>
        <w:gridCol w:w="1987"/>
        <w:gridCol w:w="1987"/>
        <w:gridCol w:w="1988"/>
        <w:gridCol w:w="1212"/>
        <w:gridCol w:w="1217"/>
      </w:tblGrid>
      <w:tr w:rsidR="00BF394B" w14:paraId="7911400B" w14:textId="77777777">
        <w:trPr>
          <w:jc w:val="center"/>
        </w:trPr>
        <w:tc>
          <w:tcPr>
            <w:tcW w:w="1632" w:type="dxa"/>
            <w:shd w:val="clear" w:color="auto" w:fill="B5C0D8"/>
          </w:tcPr>
          <w:p w14:paraId="3F4A35B8" w14:textId="77777777" w:rsidR="00BF394B" w:rsidRDefault="00BF394B">
            <w:pPr>
              <w:pStyle w:val="CellHeader"/>
              <w:jc w:val="center"/>
            </w:pPr>
          </w:p>
        </w:tc>
        <w:tc>
          <w:tcPr>
            <w:tcW w:w="2041" w:type="dxa"/>
            <w:shd w:val="clear" w:color="auto" w:fill="B5C0D8"/>
          </w:tcPr>
          <w:p w14:paraId="1CFB9A5B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Izvršenje 2022. (eur)</w:t>
            </w:r>
          </w:p>
        </w:tc>
        <w:tc>
          <w:tcPr>
            <w:tcW w:w="2041" w:type="dxa"/>
            <w:shd w:val="clear" w:color="auto" w:fill="B5C0D8"/>
          </w:tcPr>
          <w:p w14:paraId="7B5D459C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Plan 2023. (eur)</w:t>
            </w:r>
          </w:p>
        </w:tc>
        <w:tc>
          <w:tcPr>
            <w:tcW w:w="2041" w:type="dxa"/>
            <w:shd w:val="clear" w:color="auto" w:fill="B5C0D8"/>
          </w:tcPr>
          <w:p w14:paraId="4444667C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224" w:type="dxa"/>
            <w:shd w:val="clear" w:color="auto" w:fill="B5C0D8"/>
          </w:tcPr>
          <w:p w14:paraId="0F1C83C8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2023./plan 2023.</w:t>
            </w:r>
          </w:p>
        </w:tc>
        <w:tc>
          <w:tcPr>
            <w:tcW w:w="1224" w:type="dxa"/>
            <w:shd w:val="clear" w:color="auto" w:fill="B5C0D8"/>
          </w:tcPr>
          <w:p w14:paraId="53F8563D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2023./2022.</w:t>
            </w:r>
          </w:p>
        </w:tc>
      </w:tr>
      <w:tr w:rsidR="00BF394B" w14:paraId="6F2C9340" w14:textId="77777777">
        <w:trPr>
          <w:jc w:val="center"/>
        </w:trPr>
        <w:tc>
          <w:tcPr>
            <w:tcW w:w="1632" w:type="dxa"/>
          </w:tcPr>
          <w:p w14:paraId="25D2D6B1" w14:textId="77777777" w:rsidR="00BF394B" w:rsidRDefault="00BF1667">
            <w:pPr>
              <w:pStyle w:val="CellColumn"/>
              <w:jc w:val="left"/>
            </w:pPr>
            <w:r>
              <w:rPr>
                <w:rFonts w:cs="Times New Roman"/>
              </w:rPr>
              <w:t>51280-Javna ustanova Lučka uprava Vukovar</w:t>
            </w:r>
          </w:p>
        </w:tc>
        <w:tc>
          <w:tcPr>
            <w:tcW w:w="2041" w:type="dxa"/>
          </w:tcPr>
          <w:p w14:paraId="2482FEF9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1.559.064</w:t>
            </w:r>
          </w:p>
        </w:tc>
        <w:tc>
          <w:tcPr>
            <w:tcW w:w="2041" w:type="dxa"/>
          </w:tcPr>
          <w:p w14:paraId="507C528D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4.496.450</w:t>
            </w:r>
          </w:p>
        </w:tc>
        <w:tc>
          <w:tcPr>
            <w:tcW w:w="2041" w:type="dxa"/>
          </w:tcPr>
          <w:p w14:paraId="4C77B8A0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3.315.005</w:t>
            </w:r>
          </w:p>
        </w:tc>
        <w:tc>
          <w:tcPr>
            <w:tcW w:w="1224" w:type="dxa"/>
          </w:tcPr>
          <w:p w14:paraId="27F29DF4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73,7</w:t>
            </w:r>
          </w:p>
        </w:tc>
        <w:tc>
          <w:tcPr>
            <w:tcW w:w="1224" w:type="dxa"/>
          </w:tcPr>
          <w:p w14:paraId="21A26C97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212,6</w:t>
            </w:r>
          </w:p>
        </w:tc>
      </w:tr>
      <w:tr w:rsidR="00BF394B" w14:paraId="38719A07" w14:textId="77777777">
        <w:trPr>
          <w:jc w:val="center"/>
        </w:trPr>
        <w:tc>
          <w:tcPr>
            <w:tcW w:w="1632" w:type="dxa"/>
          </w:tcPr>
          <w:p w14:paraId="1C19F982" w14:textId="77777777" w:rsidR="00BF394B" w:rsidRDefault="00BF1667">
            <w:pPr>
              <w:jc w:val="left"/>
            </w:pPr>
            <w:r>
              <w:t>3111-PRIPREMA I PROVEDBA PROJEKATA SUFINANCIRANIH SREDSTVIMA FONDOVA EU</w:t>
            </w:r>
          </w:p>
        </w:tc>
        <w:tc>
          <w:tcPr>
            <w:tcW w:w="2041" w:type="dxa"/>
          </w:tcPr>
          <w:p w14:paraId="2B85C26D" w14:textId="77777777" w:rsidR="00BF394B" w:rsidRDefault="00BF1667">
            <w:pPr>
              <w:jc w:val="right"/>
            </w:pPr>
            <w:r>
              <w:t>00</w:t>
            </w:r>
          </w:p>
        </w:tc>
        <w:tc>
          <w:tcPr>
            <w:tcW w:w="2041" w:type="dxa"/>
          </w:tcPr>
          <w:p w14:paraId="45808D0A" w14:textId="77777777" w:rsidR="00BF394B" w:rsidRDefault="00BF1667">
            <w:pPr>
              <w:jc w:val="right"/>
            </w:pPr>
            <w:r>
              <w:t>6.000</w:t>
            </w:r>
          </w:p>
        </w:tc>
        <w:tc>
          <w:tcPr>
            <w:tcW w:w="2041" w:type="dxa"/>
          </w:tcPr>
          <w:p w14:paraId="6FAF905F" w14:textId="77777777" w:rsidR="00BF394B" w:rsidRDefault="00BF1667">
            <w:pPr>
              <w:jc w:val="right"/>
            </w:pPr>
            <w:r>
              <w:t>00</w:t>
            </w:r>
          </w:p>
        </w:tc>
        <w:tc>
          <w:tcPr>
            <w:tcW w:w="1224" w:type="dxa"/>
          </w:tcPr>
          <w:p w14:paraId="3D428140" w14:textId="77777777" w:rsidR="00BF394B" w:rsidRDefault="00BF1667">
            <w:pPr>
              <w:jc w:val="right"/>
            </w:pPr>
            <w:r>
              <w:t>0,0</w:t>
            </w:r>
          </w:p>
        </w:tc>
        <w:tc>
          <w:tcPr>
            <w:tcW w:w="1224" w:type="dxa"/>
          </w:tcPr>
          <w:p w14:paraId="3B654E17" w14:textId="77777777" w:rsidR="00BF394B" w:rsidRDefault="00BF1667">
            <w:pPr>
              <w:jc w:val="right"/>
            </w:pPr>
            <w:r>
              <w:t>0,0</w:t>
            </w:r>
          </w:p>
        </w:tc>
      </w:tr>
      <w:tr w:rsidR="00BF394B" w14:paraId="31A348E4" w14:textId="77777777">
        <w:trPr>
          <w:jc w:val="center"/>
        </w:trPr>
        <w:tc>
          <w:tcPr>
            <w:tcW w:w="1632" w:type="dxa"/>
          </w:tcPr>
          <w:p w14:paraId="792ED7EE" w14:textId="77777777" w:rsidR="00BF394B" w:rsidRDefault="00BF1667">
            <w:pPr>
              <w:jc w:val="left"/>
            </w:pPr>
            <w:r>
              <w:t>3115-RAZVOJ UNUTARNJE PLOVIDBE</w:t>
            </w:r>
          </w:p>
        </w:tc>
        <w:tc>
          <w:tcPr>
            <w:tcW w:w="2041" w:type="dxa"/>
          </w:tcPr>
          <w:p w14:paraId="151EBA0D" w14:textId="77777777" w:rsidR="00BF394B" w:rsidRDefault="00BF1667">
            <w:pPr>
              <w:jc w:val="right"/>
            </w:pPr>
            <w:r>
              <w:t>1.559.064</w:t>
            </w:r>
          </w:p>
        </w:tc>
        <w:tc>
          <w:tcPr>
            <w:tcW w:w="2041" w:type="dxa"/>
          </w:tcPr>
          <w:p w14:paraId="56D45079" w14:textId="77777777" w:rsidR="00BF394B" w:rsidRDefault="00BF1667">
            <w:pPr>
              <w:jc w:val="right"/>
            </w:pPr>
            <w:r>
              <w:t>4.490.450</w:t>
            </w:r>
          </w:p>
        </w:tc>
        <w:tc>
          <w:tcPr>
            <w:tcW w:w="2041" w:type="dxa"/>
          </w:tcPr>
          <w:p w14:paraId="2A20244D" w14:textId="77777777" w:rsidR="00BF394B" w:rsidRDefault="00BF1667">
            <w:pPr>
              <w:jc w:val="right"/>
            </w:pPr>
            <w:r>
              <w:t>3.315.005</w:t>
            </w:r>
          </w:p>
        </w:tc>
        <w:tc>
          <w:tcPr>
            <w:tcW w:w="1224" w:type="dxa"/>
          </w:tcPr>
          <w:p w14:paraId="2E1D587E" w14:textId="77777777" w:rsidR="00BF394B" w:rsidRDefault="00BF1667">
            <w:pPr>
              <w:jc w:val="right"/>
            </w:pPr>
            <w:r>
              <w:t>73,8</w:t>
            </w:r>
          </w:p>
        </w:tc>
        <w:tc>
          <w:tcPr>
            <w:tcW w:w="1224" w:type="dxa"/>
          </w:tcPr>
          <w:p w14:paraId="36D8AE4B" w14:textId="77777777" w:rsidR="00BF394B" w:rsidRDefault="00BF1667">
            <w:pPr>
              <w:jc w:val="right"/>
            </w:pPr>
            <w:r>
              <w:t>212,6</w:t>
            </w:r>
          </w:p>
        </w:tc>
      </w:tr>
    </w:tbl>
    <w:p w14:paraId="60301DE8" w14:textId="77777777" w:rsidR="00BF394B" w:rsidRDefault="00BF394B">
      <w:pPr>
        <w:jc w:val="left"/>
      </w:pPr>
    </w:p>
    <w:p w14:paraId="30F82745" w14:textId="77777777" w:rsidR="00BF394B" w:rsidRDefault="00BF1667">
      <w:pPr>
        <w:pStyle w:val="Naslov3"/>
      </w:pPr>
      <w:r>
        <w:rPr>
          <w:rFonts w:cs="Times New Roman"/>
        </w:rPr>
        <w:t>3111 PRIPREMA I PROVEDBA PROJEKATA SUFINANCIRANIH SREDSTVIMA FONDOVA EU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815"/>
        <w:gridCol w:w="1990"/>
        <w:gridCol w:w="1979"/>
        <w:gridCol w:w="1991"/>
        <w:gridCol w:w="1213"/>
        <w:gridCol w:w="1218"/>
      </w:tblGrid>
      <w:tr w:rsidR="00BF394B" w14:paraId="0EFD4DE0" w14:textId="77777777">
        <w:trPr>
          <w:jc w:val="center"/>
        </w:trPr>
        <w:tc>
          <w:tcPr>
            <w:tcW w:w="1632" w:type="dxa"/>
            <w:shd w:val="clear" w:color="auto" w:fill="B5C0D8"/>
          </w:tcPr>
          <w:p w14:paraId="3B0761AD" w14:textId="77777777" w:rsidR="00BF394B" w:rsidRDefault="00BF394B">
            <w:pPr>
              <w:pStyle w:val="CellHeader"/>
            </w:pPr>
          </w:p>
        </w:tc>
        <w:tc>
          <w:tcPr>
            <w:tcW w:w="2041" w:type="dxa"/>
            <w:shd w:val="clear" w:color="auto" w:fill="B5C0D8"/>
          </w:tcPr>
          <w:p w14:paraId="253AFAFF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Izvršenje 2022. (eur)</w:t>
            </w:r>
          </w:p>
        </w:tc>
        <w:tc>
          <w:tcPr>
            <w:tcW w:w="2041" w:type="dxa"/>
            <w:shd w:val="clear" w:color="auto" w:fill="B5C0D8"/>
          </w:tcPr>
          <w:p w14:paraId="62BBD79C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Plan 2023. (eur)</w:t>
            </w:r>
          </w:p>
        </w:tc>
        <w:tc>
          <w:tcPr>
            <w:tcW w:w="2041" w:type="dxa"/>
            <w:shd w:val="clear" w:color="auto" w:fill="B5C0D8"/>
          </w:tcPr>
          <w:p w14:paraId="5B4B66BE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224" w:type="dxa"/>
            <w:shd w:val="clear" w:color="auto" w:fill="B5C0D8"/>
          </w:tcPr>
          <w:p w14:paraId="76B17684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2023./plan 2023.</w:t>
            </w:r>
          </w:p>
        </w:tc>
        <w:tc>
          <w:tcPr>
            <w:tcW w:w="1224" w:type="dxa"/>
            <w:shd w:val="clear" w:color="auto" w:fill="B5C0D8"/>
          </w:tcPr>
          <w:p w14:paraId="111C8A96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Index izvršenje 2023./2022.</w:t>
            </w:r>
          </w:p>
        </w:tc>
      </w:tr>
      <w:tr w:rsidR="00BF394B" w14:paraId="3EAE5AE7" w14:textId="77777777">
        <w:trPr>
          <w:jc w:val="center"/>
        </w:trPr>
        <w:tc>
          <w:tcPr>
            <w:tcW w:w="1632" w:type="dxa"/>
          </w:tcPr>
          <w:p w14:paraId="26A13263" w14:textId="77777777" w:rsidR="00BF394B" w:rsidRDefault="00BF1667">
            <w:pPr>
              <w:pStyle w:val="CellColumn"/>
              <w:jc w:val="left"/>
            </w:pPr>
            <w:r>
              <w:rPr>
                <w:rFonts w:cs="Times New Roman"/>
              </w:rPr>
              <w:t>3111-PRIPREMA I PROVEDBA PROJEKATA SUFINANCIRANIH SREDSTVIMA FONDOVA EU</w:t>
            </w:r>
          </w:p>
        </w:tc>
        <w:tc>
          <w:tcPr>
            <w:tcW w:w="2041" w:type="dxa"/>
          </w:tcPr>
          <w:p w14:paraId="1116D9A8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00</w:t>
            </w:r>
          </w:p>
        </w:tc>
        <w:tc>
          <w:tcPr>
            <w:tcW w:w="2041" w:type="dxa"/>
          </w:tcPr>
          <w:p w14:paraId="34A8C5C4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6.000</w:t>
            </w:r>
          </w:p>
        </w:tc>
        <w:tc>
          <w:tcPr>
            <w:tcW w:w="2041" w:type="dxa"/>
          </w:tcPr>
          <w:p w14:paraId="49B7D1D6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00</w:t>
            </w:r>
          </w:p>
        </w:tc>
        <w:tc>
          <w:tcPr>
            <w:tcW w:w="1224" w:type="dxa"/>
          </w:tcPr>
          <w:p w14:paraId="2BF9CC38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0,0</w:t>
            </w:r>
          </w:p>
        </w:tc>
        <w:tc>
          <w:tcPr>
            <w:tcW w:w="1224" w:type="dxa"/>
          </w:tcPr>
          <w:p w14:paraId="291C5324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0,0</w:t>
            </w:r>
          </w:p>
        </w:tc>
      </w:tr>
    </w:tbl>
    <w:p w14:paraId="41E22D0E" w14:textId="77777777" w:rsidR="00BF394B" w:rsidRDefault="00BF394B">
      <w:pPr>
        <w:jc w:val="left"/>
      </w:pPr>
    </w:p>
    <w:p w14:paraId="1CE74376" w14:textId="77777777" w:rsidR="00BF394B" w:rsidRDefault="00BF1667">
      <w:pPr>
        <w:pStyle w:val="Naslov8"/>
        <w:jc w:val="left"/>
      </w:pPr>
      <w:r>
        <w:t xml:space="preserve">Cilj 1. Uspješna priprema i praćenje provedbe projekata sufinanciranih sredstvima fondova EU </w:t>
      </w:r>
    </w:p>
    <w:p w14:paraId="6F13C361" w14:textId="77777777" w:rsidR="00BF394B" w:rsidRDefault="00BF1667">
      <w:pPr>
        <w:pStyle w:val="Naslov8"/>
        <w:jc w:val="left"/>
      </w:pPr>
      <w:r>
        <w:t>Opis provedbe cilja programa</w:t>
      </w:r>
    </w:p>
    <w:p w14:paraId="643B654F" w14:textId="77777777" w:rsidR="00BF394B" w:rsidRDefault="00BF1667">
      <w:r>
        <w:t xml:space="preserve">Programom se provode aktivnosti za postizanje uspješne pripreme i provedbe projekata sufinanciranih sredstvima fondova EU odnosno za ostvarenje ciljeva Nacionalnog plana oporavka i otpornosti 2021.-2026. kroz koji se provodi projekt "Opremanje luka i pristaništa infrastrukturom za zbrinjavanje otpada" s ciljem izgradnje terminala za prikupljanje otpada sa plovila i objekata za gospodarenje otpadom. </w:t>
      </w:r>
    </w:p>
    <w:p w14:paraId="55AA7851" w14:textId="77777777" w:rsidR="00BF394B" w:rsidRDefault="00BF1667">
      <w:r>
        <w:t xml:space="preserve"> </w:t>
      </w:r>
    </w:p>
    <w:p w14:paraId="07D6957E" w14:textId="77777777" w:rsidR="00BF394B" w:rsidRDefault="00BF1667">
      <w:r>
        <w:lastRenderedPageBreak/>
        <w:t>Ciljana vrijednost u 2023. godini uključivala je provedbu postupka javne nabave za provedbu daljnjih projektnih aktivnosti što nije realizirano zbog kašnjenja u provedbi samog natječaja za NPOO.</w:t>
      </w:r>
    </w:p>
    <w:p w14:paraId="4E31C2FD" w14:textId="77777777" w:rsidR="00BF394B" w:rsidRDefault="00BF1667">
      <w:pPr>
        <w:pStyle w:val="Naslov8"/>
        <w:jc w:val="left"/>
      </w:pPr>
      <w:r>
        <w:t>Pokazatelji učinka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53"/>
        <w:gridCol w:w="2553"/>
        <w:gridCol w:w="1020"/>
        <w:gridCol w:w="1020"/>
        <w:gridCol w:w="1020"/>
        <w:gridCol w:w="1020"/>
        <w:gridCol w:w="1020"/>
      </w:tblGrid>
      <w:tr w:rsidR="00BF394B" w14:paraId="5707DC2D" w14:textId="77777777">
        <w:trPr>
          <w:jc w:val="center"/>
        </w:trPr>
        <w:tc>
          <w:tcPr>
            <w:tcW w:w="2551" w:type="dxa"/>
            <w:shd w:val="clear" w:color="auto" w:fill="B5C0D8"/>
          </w:tcPr>
          <w:p w14:paraId="661230EF" w14:textId="77777777" w:rsidR="00BF394B" w:rsidRDefault="00BF1667">
            <w:pPr>
              <w:jc w:val="center"/>
            </w:pPr>
            <w:r>
              <w:t>Pokazatelj učinka</w:t>
            </w:r>
          </w:p>
        </w:tc>
        <w:tc>
          <w:tcPr>
            <w:tcW w:w="2551" w:type="dxa"/>
            <w:shd w:val="clear" w:color="auto" w:fill="B5C0D8"/>
          </w:tcPr>
          <w:p w14:paraId="62EC3689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14:paraId="1AF50D53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14:paraId="460CDDAD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14:paraId="76A11C59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14:paraId="1DC96EC1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(2023.)</w:t>
            </w:r>
          </w:p>
        </w:tc>
        <w:tc>
          <w:tcPr>
            <w:tcW w:w="1020" w:type="dxa"/>
            <w:shd w:val="clear" w:color="auto" w:fill="B5C0D8"/>
          </w:tcPr>
          <w:p w14:paraId="53AAB5A8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(2023.)</w:t>
            </w:r>
          </w:p>
        </w:tc>
      </w:tr>
      <w:tr w:rsidR="00BF394B" w14:paraId="0271E2E3" w14:textId="77777777">
        <w:trPr>
          <w:jc w:val="center"/>
        </w:trPr>
        <w:tc>
          <w:tcPr>
            <w:tcW w:w="2551" w:type="dxa"/>
          </w:tcPr>
          <w:p w14:paraId="639684A2" w14:textId="77777777" w:rsidR="00BF394B" w:rsidRDefault="00BF1667">
            <w:pPr>
              <w:pStyle w:val="CellColumn"/>
              <w:jc w:val="left"/>
            </w:pPr>
            <w:r>
              <w:rPr>
                <w:rFonts w:cs="Times New Roman"/>
              </w:rPr>
              <w:t>Stupanj provođenja projekta sukladno projektnom planu</w:t>
            </w:r>
          </w:p>
        </w:tc>
        <w:tc>
          <w:tcPr>
            <w:tcW w:w="2551" w:type="dxa"/>
          </w:tcPr>
          <w:p w14:paraId="206B3656" w14:textId="77777777" w:rsidR="00BF394B" w:rsidRDefault="00BF1667">
            <w:pPr>
              <w:pStyle w:val="CellColumn"/>
              <w:jc w:val="left"/>
            </w:pPr>
            <w:r>
              <w:rPr>
                <w:rFonts w:cs="Times New Roman"/>
              </w:rPr>
              <w:t>Učinkovitost realizacije pripreme projekata sufinanciranih sredstvima fondova EU</w:t>
            </w:r>
          </w:p>
        </w:tc>
        <w:tc>
          <w:tcPr>
            <w:tcW w:w="1020" w:type="dxa"/>
          </w:tcPr>
          <w:p w14:paraId="4C1041E8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%</w:t>
            </w:r>
          </w:p>
        </w:tc>
        <w:tc>
          <w:tcPr>
            <w:tcW w:w="1020" w:type="dxa"/>
          </w:tcPr>
          <w:p w14:paraId="26BD31C2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918" w:type="dxa"/>
          </w:tcPr>
          <w:p w14:paraId="432A9619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Lučka uprava Vukovar</w:t>
            </w:r>
          </w:p>
        </w:tc>
        <w:tc>
          <w:tcPr>
            <w:tcW w:w="1020" w:type="dxa"/>
          </w:tcPr>
          <w:p w14:paraId="53CD26E1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  <w:tc>
          <w:tcPr>
            <w:tcW w:w="1020" w:type="dxa"/>
          </w:tcPr>
          <w:p w14:paraId="005971DD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</w:tr>
    </w:tbl>
    <w:p w14:paraId="4E90E0E8" w14:textId="77777777" w:rsidR="003E357C" w:rsidRDefault="003E357C">
      <w:pPr>
        <w:jc w:val="left"/>
      </w:pPr>
    </w:p>
    <w:p w14:paraId="06503958" w14:textId="77777777" w:rsidR="00BF394B" w:rsidRDefault="00BF1667">
      <w:pPr>
        <w:pStyle w:val="Naslov4"/>
      </w:pPr>
      <w:r>
        <w:t>K930006 NPOO - C1.4. R3-I4 OPREMANJE LUKA I PRISTANIŠTA INFRASTRUKTUROM ZA ZBRINJAVANJE OTPADA - LU VUKOVAR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093"/>
        <w:gridCol w:w="1913"/>
        <w:gridCol w:w="1883"/>
        <w:gridCol w:w="1913"/>
        <w:gridCol w:w="1196"/>
        <w:gridCol w:w="1208"/>
      </w:tblGrid>
      <w:tr w:rsidR="00BF394B" w14:paraId="489C50C4" w14:textId="77777777">
        <w:trPr>
          <w:jc w:val="center"/>
        </w:trPr>
        <w:tc>
          <w:tcPr>
            <w:tcW w:w="1632" w:type="dxa"/>
            <w:shd w:val="clear" w:color="auto" w:fill="B5C0D8"/>
          </w:tcPr>
          <w:p w14:paraId="4EB49CB7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14:paraId="01ECF7B8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Izvršenje 2022. (eur)</w:t>
            </w:r>
          </w:p>
        </w:tc>
        <w:tc>
          <w:tcPr>
            <w:tcW w:w="2041" w:type="dxa"/>
            <w:shd w:val="clear" w:color="auto" w:fill="B5C0D8"/>
          </w:tcPr>
          <w:p w14:paraId="7AE7FC25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Plan 2023. (eur)</w:t>
            </w:r>
          </w:p>
        </w:tc>
        <w:tc>
          <w:tcPr>
            <w:tcW w:w="2041" w:type="dxa"/>
            <w:shd w:val="clear" w:color="auto" w:fill="B5C0D8"/>
          </w:tcPr>
          <w:p w14:paraId="30C12163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224" w:type="dxa"/>
            <w:shd w:val="clear" w:color="auto" w:fill="B5C0D8"/>
          </w:tcPr>
          <w:p w14:paraId="7C2AACCD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2023./plan 2023.</w:t>
            </w:r>
          </w:p>
        </w:tc>
        <w:tc>
          <w:tcPr>
            <w:tcW w:w="1224" w:type="dxa"/>
            <w:shd w:val="clear" w:color="auto" w:fill="B5C0D8"/>
          </w:tcPr>
          <w:p w14:paraId="0C342C83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2023./2022.</w:t>
            </w:r>
          </w:p>
        </w:tc>
      </w:tr>
      <w:tr w:rsidR="00BF394B" w14:paraId="0F51A8DF" w14:textId="77777777">
        <w:trPr>
          <w:jc w:val="center"/>
        </w:trPr>
        <w:tc>
          <w:tcPr>
            <w:tcW w:w="1632" w:type="dxa"/>
          </w:tcPr>
          <w:p w14:paraId="2FD34B5E" w14:textId="77777777" w:rsidR="00BF394B" w:rsidRDefault="00BF1667">
            <w:pPr>
              <w:pStyle w:val="CellColumn"/>
              <w:jc w:val="left"/>
            </w:pPr>
            <w:r>
              <w:rPr>
                <w:rFonts w:cs="Times New Roman"/>
              </w:rPr>
              <w:t>K930006-NPOO - C1.4. R3-I4 OPREMANJE LUKA I PRISTANIŠTA INFRASTRUKTUROM ZA ZBRINJAVANJE OTPADA - LU VUKOVAR</w:t>
            </w:r>
          </w:p>
        </w:tc>
        <w:tc>
          <w:tcPr>
            <w:tcW w:w="2041" w:type="dxa"/>
          </w:tcPr>
          <w:p w14:paraId="57FF18A8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00</w:t>
            </w:r>
          </w:p>
        </w:tc>
        <w:tc>
          <w:tcPr>
            <w:tcW w:w="2041" w:type="dxa"/>
          </w:tcPr>
          <w:p w14:paraId="7061D81E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6.000</w:t>
            </w:r>
          </w:p>
        </w:tc>
        <w:tc>
          <w:tcPr>
            <w:tcW w:w="2041" w:type="dxa"/>
          </w:tcPr>
          <w:p w14:paraId="74ACF719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00</w:t>
            </w:r>
          </w:p>
        </w:tc>
        <w:tc>
          <w:tcPr>
            <w:tcW w:w="1224" w:type="dxa"/>
          </w:tcPr>
          <w:p w14:paraId="2A907232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0,0</w:t>
            </w:r>
          </w:p>
        </w:tc>
        <w:tc>
          <w:tcPr>
            <w:tcW w:w="1224" w:type="dxa"/>
          </w:tcPr>
          <w:p w14:paraId="0279A23D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0,0</w:t>
            </w:r>
          </w:p>
        </w:tc>
      </w:tr>
    </w:tbl>
    <w:p w14:paraId="4AC83B05" w14:textId="77777777" w:rsidR="00BF394B" w:rsidRDefault="00BF394B">
      <w:pPr>
        <w:jc w:val="left"/>
      </w:pPr>
    </w:p>
    <w:p w14:paraId="7E8D0EA5" w14:textId="77777777" w:rsidR="00BF394B" w:rsidRDefault="00BF1667">
      <w:pPr>
        <w:pStyle w:val="Naslov8"/>
        <w:jc w:val="left"/>
      </w:pPr>
      <w:r>
        <w:t>Zakonske i druge pravne osnove</w:t>
      </w:r>
    </w:p>
    <w:p w14:paraId="0477DC5C" w14:textId="77777777" w:rsidR="00BF394B" w:rsidRDefault="00BF1667">
      <w:r>
        <w:t xml:space="preserve">- Uredba  (EU) 2021/241 Europskog Parlamenta i Vijeća od 12. veljače 2021. o uspostavi Mehanizma za oporavak i otpornost </w:t>
      </w:r>
    </w:p>
    <w:p w14:paraId="054D7830" w14:textId="77777777" w:rsidR="00BF394B" w:rsidRDefault="00BF1667">
      <w:r>
        <w:t>- Strategija razvitka riječnog prometa u Republici Hrvatskoj za razdoblje od 2022. do 2023. godine, točka 6.5.1.2 i 6.4.3.8.</w:t>
      </w:r>
    </w:p>
    <w:p w14:paraId="080876D9" w14:textId="77777777" w:rsidR="00BF394B" w:rsidRDefault="00BF1667">
      <w:pPr>
        <w:pStyle w:val="Naslov8"/>
        <w:jc w:val="left"/>
      </w:pPr>
      <w:r>
        <w:t>Opis aktivnosti</w:t>
      </w:r>
    </w:p>
    <w:p w14:paraId="47C41928" w14:textId="77777777" w:rsidR="00BF394B" w:rsidRDefault="00BF1667">
      <w:r>
        <w:t>U izvještajnom razdoblju planirana sredstva su bila predviđena za provedbu postupka javne nabave za izradu projektno-studijske dokumentacije nakon dodjele potpore putem objavljenog natječaja kroz Nacionalni program oporavka i otpornosti. Obzirom da natječaj za potpore nije bio objavljen i samim time sredstva potpore nisu dodijeljena, Lučka uprava Vukovar nije ostvarila uvjete za izvršenje planiranih sredstava.</w:t>
      </w:r>
    </w:p>
    <w:p w14:paraId="416A9DB0" w14:textId="77777777" w:rsidR="00BF1667" w:rsidRDefault="00BF1667"/>
    <w:p w14:paraId="4905E175" w14:textId="77777777" w:rsidR="00BF394B" w:rsidRDefault="00BF1667">
      <w:pPr>
        <w:pStyle w:val="Naslov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53"/>
        <w:gridCol w:w="2553"/>
        <w:gridCol w:w="1020"/>
        <w:gridCol w:w="1020"/>
        <w:gridCol w:w="1020"/>
        <w:gridCol w:w="1020"/>
        <w:gridCol w:w="1020"/>
      </w:tblGrid>
      <w:tr w:rsidR="00BF394B" w14:paraId="0A40E884" w14:textId="77777777">
        <w:trPr>
          <w:jc w:val="center"/>
        </w:trPr>
        <w:tc>
          <w:tcPr>
            <w:tcW w:w="2551" w:type="dxa"/>
            <w:shd w:val="clear" w:color="auto" w:fill="B5C0D8"/>
          </w:tcPr>
          <w:p w14:paraId="01A71BC0" w14:textId="77777777" w:rsidR="00BF394B" w:rsidRDefault="00BF1667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14:paraId="02E04ADA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14:paraId="71A44637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14:paraId="46269A16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14:paraId="51F21116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14:paraId="4E8663B1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(2023.)</w:t>
            </w:r>
          </w:p>
        </w:tc>
        <w:tc>
          <w:tcPr>
            <w:tcW w:w="1020" w:type="dxa"/>
            <w:shd w:val="clear" w:color="auto" w:fill="B5C0D8"/>
          </w:tcPr>
          <w:p w14:paraId="14AB49F5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(2023.)</w:t>
            </w:r>
          </w:p>
        </w:tc>
      </w:tr>
      <w:tr w:rsidR="00BF394B" w14:paraId="663B1778" w14:textId="77777777">
        <w:trPr>
          <w:jc w:val="center"/>
        </w:trPr>
        <w:tc>
          <w:tcPr>
            <w:tcW w:w="2551" w:type="dxa"/>
          </w:tcPr>
          <w:p w14:paraId="7724BF61" w14:textId="77777777" w:rsidR="00BF394B" w:rsidRDefault="00BF1667">
            <w:pPr>
              <w:pStyle w:val="CellColumn"/>
              <w:jc w:val="left"/>
            </w:pPr>
            <w:r>
              <w:rPr>
                <w:rFonts w:cs="Times New Roman"/>
              </w:rPr>
              <w:t>Izgradnja terminala za prikupljanje otpada s plovila i objekata za gospodarenje otpadom u luci Vukovar</w:t>
            </w:r>
          </w:p>
        </w:tc>
        <w:tc>
          <w:tcPr>
            <w:tcW w:w="2551" w:type="dxa"/>
          </w:tcPr>
          <w:p w14:paraId="57CEEB9E" w14:textId="77777777" w:rsidR="00BF394B" w:rsidRDefault="00BF1667">
            <w:pPr>
              <w:pStyle w:val="CellColumn"/>
              <w:jc w:val="left"/>
            </w:pPr>
            <w:r>
              <w:rPr>
                <w:rFonts w:cs="Times New Roman"/>
              </w:rPr>
              <w:t>Rezultat uključuje pripremu projektne dokumentacije te izgradnju terminala predviđenog strategijom prometnog razvoja</w:t>
            </w:r>
          </w:p>
        </w:tc>
        <w:tc>
          <w:tcPr>
            <w:tcW w:w="1020" w:type="dxa"/>
          </w:tcPr>
          <w:p w14:paraId="3831DE25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%</w:t>
            </w:r>
          </w:p>
        </w:tc>
        <w:tc>
          <w:tcPr>
            <w:tcW w:w="1020" w:type="dxa"/>
          </w:tcPr>
          <w:p w14:paraId="6C2411CC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14:paraId="3ECBAF94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Lućka uprava Vukovar</w:t>
            </w:r>
          </w:p>
        </w:tc>
        <w:tc>
          <w:tcPr>
            <w:tcW w:w="1020" w:type="dxa"/>
          </w:tcPr>
          <w:p w14:paraId="271B8CF8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1</w:t>
            </w:r>
          </w:p>
        </w:tc>
        <w:tc>
          <w:tcPr>
            <w:tcW w:w="1020" w:type="dxa"/>
          </w:tcPr>
          <w:p w14:paraId="66FBD584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</w:tr>
    </w:tbl>
    <w:p w14:paraId="040053BA" w14:textId="77777777" w:rsidR="00BF394B" w:rsidRDefault="00BF394B">
      <w:pPr>
        <w:jc w:val="left"/>
      </w:pPr>
    </w:p>
    <w:p w14:paraId="1B98C716" w14:textId="77777777" w:rsidR="00BF394B" w:rsidRDefault="00BF1667">
      <w:pPr>
        <w:pStyle w:val="Naslov3"/>
      </w:pPr>
      <w:r>
        <w:rPr>
          <w:rFonts w:cs="Times New Roman"/>
        </w:rPr>
        <w:lastRenderedPageBreak/>
        <w:t>3115 RAZVOJ UNUTARNJE PLOVIDBE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BF394B" w14:paraId="3588AD03" w14:textId="77777777">
        <w:trPr>
          <w:jc w:val="center"/>
        </w:trPr>
        <w:tc>
          <w:tcPr>
            <w:tcW w:w="1632" w:type="dxa"/>
            <w:shd w:val="clear" w:color="auto" w:fill="B5C0D8"/>
          </w:tcPr>
          <w:p w14:paraId="4F1A5987" w14:textId="77777777" w:rsidR="00BF394B" w:rsidRDefault="00BF394B">
            <w:pPr>
              <w:pStyle w:val="CellHeader"/>
            </w:pPr>
          </w:p>
        </w:tc>
        <w:tc>
          <w:tcPr>
            <w:tcW w:w="2041" w:type="dxa"/>
            <w:shd w:val="clear" w:color="auto" w:fill="B5C0D8"/>
          </w:tcPr>
          <w:p w14:paraId="40E97545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Izvršenje 2022. (eur)</w:t>
            </w:r>
          </w:p>
        </w:tc>
        <w:tc>
          <w:tcPr>
            <w:tcW w:w="2041" w:type="dxa"/>
            <w:shd w:val="clear" w:color="auto" w:fill="B5C0D8"/>
          </w:tcPr>
          <w:p w14:paraId="5744C11D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Plan 2023. (eur)</w:t>
            </w:r>
          </w:p>
        </w:tc>
        <w:tc>
          <w:tcPr>
            <w:tcW w:w="2041" w:type="dxa"/>
            <w:shd w:val="clear" w:color="auto" w:fill="B5C0D8"/>
          </w:tcPr>
          <w:p w14:paraId="03B168B4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224" w:type="dxa"/>
            <w:shd w:val="clear" w:color="auto" w:fill="B5C0D8"/>
          </w:tcPr>
          <w:p w14:paraId="480A7BD6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2023./plan 2023.</w:t>
            </w:r>
          </w:p>
        </w:tc>
        <w:tc>
          <w:tcPr>
            <w:tcW w:w="1224" w:type="dxa"/>
            <w:shd w:val="clear" w:color="auto" w:fill="B5C0D8"/>
          </w:tcPr>
          <w:p w14:paraId="553D8E4B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Index izvršenje 2023./2022.</w:t>
            </w:r>
          </w:p>
        </w:tc>
      </w:tr>
      <w:tr w:rsidR="00BF394B" w14:paraId="31807D4A" w14:textId="77777777">
        <w:trPr>
          <w:jc w:val="center"/>
        </w:trPr>
        <w:tc>
          <w:tcPr>
            <w:tcW w:w="1632" w:type="dxa"/>
          </w:tcPr>
          <w:p w14:paraId="576216CB" w14:textId="77777777" w:rsidR="00BF394B" w:rsidRDefault="00BF1667">
            <w:pPr>
              <w:pStyle w:val="CellColumn"/>
              <w:jc w:val="left"/>
            </w:pPr>
            <w:r>
              <w:rPr>
                <w:rFonts w:cs="Times New Roman"/>
              </w:rPr>
              <w:t>3115-RAZVOJ UNUTARNJE PLOVIDBE</w:t>
            </w:r>
          </w:p>
        </w:tc>
        <w:tc>
          <w:tcPr>
            <w:tcW w:w="2041" w:type="dxa"/>
          </w:tcPr>
          <w:p w14:paraId="69114741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1.559.064</w:t>
            </w:r>
          </w:p>
        </w:tc>
        <w:tc>
          <w:tcPr>
            <w:tcW w:w="2041" w:type="dxa"/>
          </w:tcPr>
          <w:p w14:paraId="56E77CD3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4.490.450</w:t>
            </w:r>
          </w:p>
        </w:tc>
        <w:tc>
          <w:tcPr>
            <w:tcW w:w="2041" w:type="dxa"/>
          </w:tcPr>
          <w:p w14:paraId="09ACA04B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3.315.005</w:t>
            </w:r>
          </w:p>
        </w:tc>
        <w:tc>
          <w:tcPr>
            <w:tcW w:w="1224" w:type="dxa"/>
          </w:tcPr>
          <w:p w14:paraId="3E8E1777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73,8</w:t>
            </w:r>
          </w:p>
        </w:tc>
        <w:tc>
          <w:tcPr>
            <w:tcW w:w="1224" w:type="dxa"/>
          </w:tcPr>
          <w:p w14:paraId="6C270F3D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212,6</w:t>
            </w:r>
          </w:p>
        </w:tc>
      </w:tr>
    </w:tbl>
    <w:p w14:paraId="2953498A" w14:textId="77777777" w:rsidR="00BF394B" w:rsidRDefault="00BF394B">
      <w:pPr>
        <w:jc w:val="left"/>
      </w:pPr>
    </w:p>
    <w:p w14:paraId="7B38FBCF" w14:textId="77777777" w:rsidR="00BF394B" w:rsidRDefault="00BF1667">
      <w:pPr>
        <w:pStyle w:val="Naslov8"/>
        <w:jc w:val="left"/>
      </w:pPr>
      <w:r>
        <w:t>Cilj 1. Razvijen sustav unutarnje plovidbe</w:t>
      </w:r>
    </w:p>
    <w:p w14:paraId="54213BBE" w14:textId="77777777" w:rsidR="00BF394B" w:rsidRDefault="00BF1667">
      <w:pPr>
        <w:pStyle w:val="Naslov8"/>
        <w:jc w:val="left"/>
      </w:pPr>
      <w:r>
        <w:t>Opis provedbe cilja programa</w:t>
      </w:r>
    </w:p>
    <w:p w14:paraId="3A6725E7" w14:textId="50BDBC46" w:rsidR="00BF394B" w:rsidRDefault="00BF1667">
      <w:r>
        <w:t xml:space="preserve">Program ulaganja u lučku infrastrukturu i modernizacija luke udovoljava postojećoj i očekivanoj transportnoj potražnji na unutarnjim vodama. Razvoj u tehnološko tehničkom smislu kroz rekonstrukciju postojećih i izgradnju novih lučkih kapaciteta, u uvjetima bez globalnih poremećaja pridonosi povećanju količine prekrcajnog tereta i povećanju korisnika odnosno broja prihvaćenih i otpremljenih putnika u putničkim pristaništima.   </w:t>
      </w:r>
    </w:p>
    <w:p w14:paraId="2225D760" w14:textId="77777777" w:rsidR="00BF394B" w:rsidRDefault="00BF1667">
      <w:r>
        <w:t>Ciljana vrijednost povećanja količine prekrcajnog tereta za 2023. godinu nije ostvarena zbog poremećaja na tržištu uzrokovanom ratom u Ukrajini. Na lučkom području luke Vukovar od dana 10. kolovoza 2022. onemogućen je pretovar tereta (nafte i ugljena) ruskog porijekla, a kako je stanje ostalo nepromijenjeno, dolazi do značajnog smanjenja ostvarene vrijednosti u odnosu na razdoblje prije globalnih poremećaja.</w:t>
      </w:r>
    </w:p>
    <w:p w14:paraId="7DC9DD21" w14:textId="77777777" w:rsidR="00BF1667" w:rsidRDefault="00BF1667"/>
    <w:p w14:paraId="20C44A27" w14:textId="77777777" w:rsidR="00BF394B" w:rsidRDefault="00BF1667">
      <w:pPr>
        <w:pStyle w:val="Naslov8"/>
        <w:jc w:val="left"/>
      </w:pPr>
      <w:r>
        <w:t>Pokazatelji učinka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53"/>
        <w:gridCol w:w="2553"/>
        <w:gridCol w:w="1020"/>
        <w:gridCol w:w="1020"/>
        <w:gridCol w:w="1020"/>
        <w:gridCol w:w="1020"/>
        <w:gridCol w:w="1020"/>
      </w:tblGrid>
      <w:tr w:rsidR="00BF394B" w14:paraId="2178DD1C" w14:textId="77777777">
        <w:trPr>
          <w:jc w:val="center"/>
        </w:trPr>
        <w:tc>
          <w:tcPr>
            <w:tcW w:w="2551" w:type="dxa"/>
            <w:shd w:val="clear" w:color="auto" w:fill="B5C0D8"/>
          </w:tcPr>
          <w:p w14:paraId="255D9090" w14:textId="77777777" w:rsidR="00BF394B" w:rsidRDefault="00BF1667">
            <w:pPr>
              <w:jc w:val="center"/>
            </w:pPr>
            <w:r>
              <w:t>Pokazatelj učinka</w:t>
            </w:r>
          </w:p>
        </w:tc>
        <w:tc>
          <w:tcPr>
            <w:tcW w:w="2551" w:type="dxa"/>
            <w:shd w:val="clear" w:color="auto" w:fill="B5C0D8"/>
          </w:tcPr>
          <w:p w14:paraId="117FA85A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14:paraId="696A3579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14:paraId="2A924650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14:paraId="48A03F5B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14:paraId="46AB6D29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(2023.)</w:t>
            </w:r>
          </w:p>
        </w:tc>
        <w:tc>
          <w:tcPr>
            <w:tcW w:w="1020" w:type="dxa"/>
            <w:shd w:val="clear" w:color="auto" w:fill="B5C0D8"/>
          </w:tcPr>
          <w:p w14:paraId="39879556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(2023.)</w:t>
            </w:r>
          </w:p>
        </w:tc>
      </w:tr>
      <w:tr w:rsidR="00BF394B" w14:paraId="7A057C42" w14:textId="77777777">
        <w:trPr>
          <w:jc w:val="center"/>
        </w:trPr>
        <w:tc>
          <w:tcPr>
            <w:tcW w:w="2551" w:type="dxa"/>
          </w:tcPr>
          <w:p w14:paraId="34C73EFC" w14:textId="77777777" w:rsidR="00BF394B" w:rsidRDefault="00BF1667">
            <w:pPr>
              <w:pStyle w:val="CellColumn"/>
              <w:jc w:val="left"/>
            </w:pPr>
            <w:r>
              <w:rPr>
                <w:rFonts w:cs="Times New Roman"/>
              </w:rPr>
              <w:t>Povećanje količine prekrcajnog tereta u luci Vukovar</w:t>
            </w:r>
          </w:p>
        </w:tc>
        <w:tc>
          <w:tcPr>
            <w:tcW w:w="2551" w:type="dxa"/>
          </w:tcPr>
          <w:p w14:paraId="5AC80BC8" w14:textId="77777777" w:rsidR="00BF394B" w:rsidRDefault="00BF1667">
            <w:pPr>
              <w:pStyle w:val="CellColumn"/>
              <w:jc w:val="left"/>
            </w:pPr>
            <w:r>
              <w:rPr>
                <w:rFonts w:cs="Times New Roman"/>
              </w:rPr>
              <w:t>Ukupna količina prekrcajnog tereta u luci Vukovar</w:t>
            </w:r>
          </w:p>
        </w:tc>
        <w:tc>
          <w:tcPr>
            <w:tcW w:w="1020" w:type="dxa"/>
          </w:tcPr>
          <w:p w14:paraId="4778E760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tona</w:t>
            </w:r>
          </w:p>
        </w:tc>
        <w:tc>
          <w:tcPr>
            <w:tcW w:w="1020" w:type="dxa"/>
          </w:tcPr>
          <w:p w14:paraId="0451210D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400.000</w:t>
            </w:r>
          </w:p>
        </w:tc>
        <w:tc>
          <w:tcPr>
            <w:tcW w:w="918" w:type="dxa"/>
          </w:tcPr>
          <w:p w14:paraId="376D94AA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Lučka uprava Vukovar</w:t>
            </w:r>
          </w:p>
        </w:tc>
        <w:tc>
          <w:tcPr>
            <w:tcW w:w="1020" w:type="dxa"/>
          </w:tcPr>
          <w:p w14:paraId="01ED064B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500.000</w:t>
            </w:r>
          </w:p>
        </w:tc>
        <w:tc>
          <w:tcPr>
            <w:tcW w:w="1020" w:type="dxa"/>
          </w:tcPr>
          <w:p w14:paraId="7D171820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173.362</w:t>
            </w:r>
          </w:p>
        </w:tc>
      </w:tr>
      <w:tr w:rsidR="00BF394B" w14:paraId="0407FFD9" w14:textId="77777777">
        <w:trPr>
          <w:jc w:val="center"/>
        </w:trPr>
        <w:tc>
          <w:tcPr>
            <w:tcW w:w="2551" w:type="dxa"/>
          </w:tcPr>
          <w:p w14:paraId="3F7CF1D4" w14:textId="77777777" w:rsidR="00BF394B" w:rsidRDefault="00BF1667">
            <w:pPr>
              <w:pStyle w:val="CellColumn"/>
              <w:jc w:val="left"/>
            </w:pPr>
            <w:r>
              <w:rPr>
                <w:rFonts w:cs="Times New Roman"/>
              </w:rPr>
              <w:t>Povećanje broja putnika u pristaništima  Lučke uprave Vukovar</w:t>
            </w:r>
          </w:p>
        </w:tc>
        <w:tc>
          <w:tcPr>
            <w:tcW w:w="2551" w:type="dxa"/>
          </w:tcPr>
          <w:p w14:paraId="3756239D" w14:textId="77777777" w:rsidR="00BF394B" w:rsidRDefault="00BF1667">
            <w:pPr>
              <w:pStyle w:val="CellColumn"/>
              <w:jc w:val="left"/>
            </w:pPr>
            <w:r>
              <w:rPr>
                <w:rFonts w:cs="Times New Roman"/>
              </w:rPr>
              <w:t>Ukupan broj prevezenih putnika u domaćem i međunarodnom prometu u pristaništima Lučke uprave Vukovar</w:t>
            </w:r>
          </w:p>
        </w:tc>
        <w:tc>
          <w:tcPr>
            <w:tcW w:w="1020" w:type="dxa"/>
          </w:tcPr>
          <w:p w14:paraId="7EA11074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putnik</w:t>
            </w:r>
          </w:p>
        </w:tc>
        <w:tc>
          <w:tcPr>
            <w:tcW w:w="1020" w:type="dxa"/>
          </w:tcPr>
          <w:p w14:paraId="04012ADB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48.000</w:t>
            </w:r>
          </w:p>
        </w:tc>
        <w:tc>
          <w:tcPr>
            <w:tcW w:w="918" w:type="dxa"/>
          </w:tcPr>
          <w:p w14:paraId="3BD5B8A6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Lučka uprava Vukovar</w:t>
            </w:r>
          </w:p>
        </w:tc>
        <w:tc>
          <w:tcPr>
            <w:tcW w:w="1020" w:type="dxa"/>
          </w:tcPr>
          <w:p w14:paraId="11198EC6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55.000</w:t>
            </w:r>
          </w:p>
        </w:tc>
        <w:tc>
          <w:tcPr>
            <w:tcW w:w="1020" w:type="dxa"/>
          </w:tcPr>
          <w:p w14:paraId="1C870CEF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76.690</w:t>
            </w:r>
          </w:p>
        </w:tc>
      </w:tr>
    </w:tbl>
    <w:p w14:paraId="41EEE533" w14:textId="77777777" w:rsidR="00BF394B" w:rsidRDefault="00BF394B">
      <w:pPr>
        <w:jc w:val="left"/>
      </w:pPr>
    </w:p>
    <w:p w14:paraId="4877809F" w14:textId="77777777" w:rsidR="00BF1667" w:rsidRDefault="00BF1667">
      <w:pPr>
        <w:jc w:val="left"/>
      </w:pPr>
    </w:p>
    <w:p w14:paraId="04DBA64E" w14:textId="77777777" w:rsidR="00BF394B" w:rsidRDefault="00BF1667">
      <w:pPr>
        <w:pStyle w:val="Naslov4"/>
      </w:pPr>
      <w:r>
        <w:t>A930001 ADMINISTRACIJA I UPRAVLJANJE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792"/>
        <w:gridCol w:w="1995"/>
        <w:gridCol w:w="1992"/>
        <w:gridCol w:w="1995"/>
        <w:gridCol w:w="1214"/>
        <w:gridCol w:w="1218"/>
      </w:tblGrid>
      <w:tr w:rsidR="00BF394B" w14:paraId="2A37AA34" w14:textId="77777777">
        <w:trPr>
          <w:jc w:val="center"/>
        </w:trPr>
        <w:tc>
          <w:tcPr>
            <w:tcW w:w="1632" w:type="dxa"/>
            <w:shd w:val="clear" w:color="auto" w:fill="B5C0D8"/>
          </w:tcPr>
          <w:p w14:paraId="7987AA77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14:paraId="64A396E8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Izvršenje 2022. (eur)</w:t>
            </w:r>
          </w:p>
        </w:tc>
        <w:tc>
          <w:tcPr>
            <w:tcW w:w="2041" w:type="dxa"/>
            <w:shd w:val="clear" w:color="auto" w:fill="B5C0D8"/>
          </w:tcPr>
          <w:p w14:paraId="72E12FE6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Plan 2023. (eur)</w:t>
            </w:r>
          </w:p>
        </w:tc>
        <w:tc>
          <w:tcPr>
            <w:tcW w:w="2041" w:type="dxa"/>
            <w:shd w:val="clear" w:color="auto" w:fill="B5C0D8"/>
          </w:tcPr>
          <w:p w14:paraId="43F780CB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224" w:type="dxa"/>
            <w:shd w:val="clear" w:color="auto" w:fill="B5C0D8"/>
          </w:tcPr>
          <w:p w14:paraId="0914B781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2023./plan 2023.</w:t>
            </w:r>
          </w:p>
        </w:tc>
        <w:tc>
          <w:tcPr>
            <w:tcW w:w="1224" w:type="dxa"/>
            <w:shd w:val="clear" w:color="auto" w:fill="B5C0D8"/>
          </w:tcPr>
          <w:p w14:paraId="7AD07579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2023./2022.</w:t>
            </w:r>
          </w:p>
        </w:tc>
      </w:tr>
      <w:tr w:rsidR="00BF394B" w14:paraId="2C3075B2" w14:textId="77777777">
        <w:trPr>
          <w:jc w:val="center"/>
        </w:trPr>
        <w:tc>
          <w:tcPr>
            <w:tcW w:w="1632" w:type="dxa"/>
          </w:tcPr>
          <w:p w14:paraId="3489617C" w14:textId="77777777" w:rsidR="00BF394B" w:rsidRDefault="00BF1667">
            <w:pPr>
              <w:pStyle w:val="CellColumn"/>
              <w:jc w:val="left"/>
            </w:pPr>
            <w:r>
              <w:rPr>
                <w:rFonts w:cs="Times New Roman"/>
              </w:rPr>
              <w:t>A930001-ADMINISTRACIJA I UPRAVLJANJE</w:t>
            </w:r>
          </w:p>
        </w:tc>
        <w:tc>
          <w:tcPr>
            <w:tcW w:w="2041" w:type="dxa"/>
          </w:tcPr>
          <w:p w14:paraId="156DAEA9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380.475</w:t>
            </w:r>
          </w:p>
        </w:tc>
        <w:tc>
          <w:tcPr>
            <w:tcW w:w="2041" w:type="dxa"/>
          </w:tcPr>
          <w:p w14:paraId="2BD2505A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619.902</w:t>
            </w:r>
          </w:p>
        </w:tc>
        <w:tc>
          <w:tcPr>
            <w:tcW w:w="2041" w:type="dxa"/>
          </w:tcPr>
          <w:p w14:paraId="3E61670F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431.969</w:t>
            </w:r>
          </w:p>
        </w:tc>
        <w:tc>
          <w:tcPr>
            <w:tcW w:w="1224" w:type="dxa"/>
          </w:tcPr>
          <w:p w14:paraId="39BB8689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69,7</w:t>
            </w:r>
          </w:p>
        </w:tc>
        <w:tc>
          <w:tcPr>
            <w:tcW w:w="1224" w:type="dxa"/>
          </w:tcPr>
          <w:p w14:paraId="6A2518AC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113,5</w:t>
            </w:r>
          </w:p>
        </w:tc>
      </w:tr>
    </w:tbl>
    <w:p w14:paraId="5A200721" w14:textId="77777777" w:rsidR="00BF394B" w:rsidRDefault="00BF394B">
      <w:pPr>
        <w:jc w:val="left"/>
      </w:pPr>
    </w:p>
    <w:p w14:paraId="19BE522F" w14:textId="77777777" w:rsidR="00BF394B" w:rsidRDefault="00BF1667">
      <w:pPr>
        <w:pStyle w:val="Naslov8"/>
        <w:jc w:val="left"/>
      </w:pPr>
      <w:r>
        <w:t>Zakonske i druge pravne osnove</w:t>
      </w:r>
    </w:p>
    <w:p w14:paraId="35639CB5" w14:textId="77777777" w:rsidR="00BF394B" w:rsidRDefault="00BF1667">
      <w:r>
        <w:t xml:space="preserve">- Zakon o plovidbi i lukama unutarnjih voda   </w:t>
      </w:r>
    </w:p>
    <w:p w14:paraId="497F981B" w14:textId="77777777" w:rsidR="00BF394B" w:rsidRDefault="00BF1667">
      <w:r>
        <w:t xml:space="preserve">- Uredba o upravljanju i vođenju poslova lučkih uprava unutarnjih voda  </w:t>
      </w:r>
    </w:p>
    <w:p w14:paraId="3EFB212B" w14:textId="77777777" w:rsidR="00BF394B" w:rsidRDefault="00BF1667">
      <w:r>
        <w:lastRenderedPageBreak/>
        <w:t xml:space="preserve">- Uredba o tehničko-tehnološkim uvjetima za luke i uvjetima sigurnosti plovidbe u lukama i pristaništima unutarnjih voda  </w:t>
      </w:r>
    </w:p>
    <w:p w14:paraId="433454E6" w14:textId="77777777" w:rsidR="00BF394B" w:rsidRDefault="00BF1667">
      <w:r>
        <w:t xml:space="preserve">- Uredba o određivanju lučkog područja luke Vukovar  </w:t>
      </w:r>
    </w:p>
    <w:p w14:paraId="49A9D312" w14:textId="77777777" w:rsidR="00BF394B" w:rsidRDefault="00BF1667">
      <w:r>
        <w:t xml:space="preserve">- Uredba o pristaništima unutarnjih voda  </w:t>
      </w:r>
    </w:p>
    <w:p w14:paraId="13133960" w14:textId="77777777" w:rsidR="00BF394B" w:rsidRDefault="00BF1667">
      <w:r>
        <w:t xml:space="preserve">- Pravilnik o kriterijima za određivanje naknada za koncesije u lukama i pristaništima unutarnjih voda  </w:t>
      </w:r>
    </w:p>
    <w:p w14:paraId="638CD790" w14:textId="77777777" w:rsidR="00BF394B" w:rsidRDefault="00BF1667">
      <w:r>
        <w:t xml:space="preserve">- Pravilnik o tovarištima  </w:t>
      </w:r>
    </w:p>
    <w:p w14:paraId="2D36984A" w14:textId="77777777" w:rsidR="00BF394B" w:rsidRDefault="00BF1667">
      <w:r>
        <w:t xml:space="preserve">- Pravilnik o uvjetima za obavljanje djelatnosti brodarskog agenta  </w:t>
      </w:r>
    </w:p>
    <w:p w14:paraId="227D14B8" w14:textId="77777777" w:rsidR="00BF394B" w:rsidRDefault="00BF1667">
      <w:r>
        <w:t xml:space="preserve">- Pravilnik o organizaciji i sistematizaciji radnih mjesta  </w:t>
      </w:r>
    </w:p>
    <w:p w14:paraId="33909569" w14:textId="77777777" w:rsidR="00BF394B" w:rsidRDefault="00BF1667">
      <w:r>
        <w:t>- Pravilnik o plaćama, naknadama plaća i drugim novčanim i nenovčanim primicima</w:t>
      </w:r>
    </w:p>
    <w:p w14:paraId="4CC0AA52" w14:textId="77777777" w:rsidR="00BF394B" w:rsidRDefault="00BF1667">
      <w:pPr>
        <w:pStyle w:val="Naslov8"/>
        <w:jc w:val="left"/>
      </w:pPr>
      <w:r>
        <w:t>Opis aktivnosti</w:t>
      </w:r>
    </w:p>
    <w:p w14:paraId="05C45D37" w14:textId="29AFF82B" w:rsidR="00BF394B" w:rsidRDefault="00BF1667">
      <w:r>
        <w:t xml:space="preserve">U okviru aktivnosti Administracija i upravljanje rashodi su financirani iz namjenskih i vlastitih prihoda, a najznačajniji iznos utrošenih sredstava se odnosi na rashode za zaposlene, naknade za upravno vijeće, zakupnine i najamnine, režijske troškove, računalne i ostale usluge te članarine i norme.  </w:t>
      </w:r>
    </w:p>
    <w:p w14:paraId="5938BC41" w14:textId="77777777" w:rsidR="00BF394B" w:rsidRDefault="00BF1667">
      <w:r>
        <w:t>Rashodi za zaposlene u iznosu od 235.859 eura uključuju plaće, doprinose na obvezno zdravstveno osiguranje, naknade za prijevoz i ostale rashode za zaposlene. Naknade za rad upravnog vijeća iznose 19.168,35 eura, kojima se mjesečno isplaćuje naknada za pet članova. Na zakupnine i najamnine je utrošeno 26.790,56, što obuhvaća trošak za najam poslovnog prostora i operativni leasing za službeno vozilo. Režijski troškovi (električna energija, voda, plin, motorni benzin i dizel gorivo i komunalne usluge) iznose  47.358,38 eura. Rashodi za računalne usluge iznose 12.811,92 eura, a odnose se na troškove izrade nove i održavanje web stranice, usluge održavanja Konto programa te usluge FINA-e. Na ostale usluge je utrošeno 12.811,92 eura, a najvećim dijelom za usluge čišćenja poslovnog prostora i godišnju naknadu za čuvanje i skladištenje poslovne dokumentacije u Državnom arhivu. Za članarine i norme je utrošeno 13.376,19 eura od čega se 13.272,00 eura odnosi na članarinu u Zajednici lučkih uprava unutarnjih voda.</w:t>
      </w:r>
    </w:p>
    <w:p w14:paraId="563567AF" w14:textId="77777777" w:rsidR="00E22310" w:rsidRDefault="00E22310"/>
    <w:p w14:paraId="626D2968" w14:textId="77777777" w:rsidR="00BF394B" w:rsidRDefault="00BF1667">
      <w:pPr>
        <w:pStyle w:val="Naslov4"/>
      </w:pPr>
      <w:r>
        <w:t>A930002 GRADNJA I ODRŽAVANJE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BF394B" w14:paraId="761DC370" w14:textId="77777777">
        <w:trPr>
          <w:jc w:val="center"/>
        </w:trPr>
        <w:tc>
          <w:tcPr>
            <w:tcW w:w="1632" w:type="dxa"/>
            <w:shd w:val="clear" w:color="auto" w:fill="B5C0D8"/>
          </w:tcPr>
          <w:p w14:paraId="10DA7764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14:paraId="2822ED6E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Izvršenje 2022. (eur)</w:t>
            </w:r>
          </w:p>
        </w:tc>
        <w:tc>
          <w:tcPr>
            <w:tcW w:w="2041" w:type="dxa"/>
            <w:shd w:val="clear" w:color="auto" w:fill="B5C0D8"/>
          </w:tcPr>
          <w:p w14:paraId="5EFB4DFB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Plan 2023. (eur)</w:t>
            </w:r>
          </w:p>
        </w:tc>
        <w:tc>
          <w:tcPr>
            <w:tcW w:w="2041" w:type="dxa"/>
            <w:shd w:val="clear" w:color="auto" w:fill="B5C0D8"/>
          </w:tcPr>
          <w:p w14:paraId="69EB78C9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224" w:type="dxa"/>
            <w:shd w:val="clear" w:color="auto" w:fill="B5C0D8"/>
          </w:tcPr>
          <w:p w14:paraId="0985B8B9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2023./plan 2023.</w:t>
            </w:r>
          </w:p>
        </w:tc>
        <w:tc>
          <w:tcPr>
            <w:tcW w:w="1224" w:type="dxa"/>
            <w:shd w:val="clear" w:color="auto" w:fill="B5C0D8"/>
          </w:tcPr>
          <w:p w14:paraId="6A0C54CA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2023./2022.</w:t>
            </w:r>
          </w:p>
        </w:tc>
      </w:tr>
      <w:tr w:rsidR="00BF394B" w14:paraId="08355456" w14:textId="77777777">
        <w:trPr>
          <w:jc w:val="center"/>
        </w:trPr>
        <w:tc>
          <w:tcPr>
            <w:tcW w:w="1632" w:type="dxa"/>
          </w:tcPr>
          <w:p w14:paraId="6EDF9BC4" w14:textId="77777777" w:rsidR="00BF394B" w:rsidRDefault="00BF1667">
            <w:pPr>
              <w:pStyle w:val="CellColumn"/>
              <w:jc w:val="left"/>
            </w:pPr>
            <w:r>
              <w:rPr>
                <w:rFonts w:cs="Times New Roman"/>
              </w:rPr>
              <w:t>A930002-GRADNJA I ODRŽAVANJE</w:t>
            </w:r>
          </w:p>
        </w:tc>
        <w:tc>
          <w:tcPr>
            <w:tcW w:w="2041" w:type="dxa"/>
          </w:tcPr>
          <w:p w14:paraId="1367A69E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748.958</w:t>
            </w:r>
          </w:p>
        </w:tc>
        <w:tc>
          <w:tcPr>
            <w:tcW w:w="2041" w:type="dxa"/>
          </w:tcPr>
          <w:p w14:paraId="0A6FAAFB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2.949.846</w:t>
            </w:r>
          </w:p>
        </w:tc>
        <w:tc>
          <w:tcPr>
            <w:tcW w:w="2041" w:type="dxa"/>
          </w:tcPr>
          <w:p w14:paraId="78FF1FC5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2.645.062</w:t>
            </w:r>
          </w:p>
        </w:tc>
        <w:tc>
          <w:tcPr>
            <w:tcW w:w="1224" w:type="dxa"/>
          </w:tcPr>
          <w:p w14:paraId="6E72B86F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89,7</w:t>
            </w:r>
          </w:p>
        </w:tc>
        <w:tc>
          <w:tcPr>
            <w:tcW w:w="1224" w:type="dxa"/>
          </w:tcPr>
          <w:p w14:paraId="421A5B82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353,2</w:t>
            </w:r>
          </w:p>
        </w:tc>
      </w:tr>
    </w:tbl>
    <w:p w14:paraId="00F10D03" w14:textId="77777777" w:rsidR="00BF394B" w:rsidRDefault="00BF394B">
      <w:pPr>
        <w:jc w:val="left"/>
      </w:pPr>
    </w:p>
    <w:p w14:paraId="3A8CCE2F" w14:textId="77777777" w:rsidR="00BF394B" w:rsidRDefault="00BF1667">
      <w:pPr>
        <w:pStyle w:val="Naslov8"/>
        <w:jc w:val="left"/>
      </w:pPr>
      <w:r>
        <w:t>Zakonske i druge pravne osnove</w:t>
      </w:r>
    </w:p>
    <w:p w14:paraId="46CEAD5A" w14:textId="77777777" w:rsidR="00BF394B" w:rsidRDefault="00BF1667">
      <w:r>
        <w:t xml:space="preserve">- Zakon o plovidbi i lukama unutarnjih voda   </w:t>
      </w:r>
    </w:p>
    <w:p w14:paraId="01DD378E" w14:textId="77777777" w:rsidR="00BF394B" w:rsidRDefault="00BF1667">
      <w:r>
        <w:t xml:space="preserve">- Uredba o tehničko-tehnološkim uvjetima za luke i uvjetima sigurnosti plovidbe u lukama i pristaništima unutarnjih voda  </w:t>
      </w:r>
    </w:p>
    <w:p w14:paraId="1EA8FE9B" w14:textId="77777777" w:rsidR="00BF394B" w:rsidRDefault="00BF1667">
      <w:r>
        <w:t xml:space="preserve">- Uredba o određivanju lučkog područja luke Vukovar  </w:t>
      </w:r>
    </w:p>
    <w:p w14:paraId="543C46BE" w14:textId="77777777" w:rsidR="00BF394B" w:rsidRDefault="00BF1667">
      <w:r>
        <w:t xml:space="preserve">- Uredba o pristaništima unutarnjih voda  </w:t>
      </w:r>
    </w:p>
    <w:p w14:paraId="2772CDFA" w14:textId="77777777" w:rsidR="00BF394B" w:rsidRDefault="00BF1667">
      <w:r>
        <w:t xml:space="preserve">- Strategija prometnog razvoja Republike Hrvatske 2017. -2030., točke 2.7, 4.2.6 i 5.6. </w:t>
      </w:r>
    </w:p>
    <w:p w14:paraId="7A54B952" w14:textId="77777777" w:rsidR="00BF394B" w:rsidRDefault="00BF1667">
      <w:r>
        <w:t>- Strategija razvitka riječnog prometa u Republici Hrvatskoj za razdoblje od 2022. do 2023. godine, točka 6.4.3.</w:t>
      </w:r>
    </w:p>
    <w:p w14:paraId="1F568643" w14:textId="77777777" w:rsidR="00BF394B" w:rsidRDefault="00BF1667">
      <w:pPr>
        <w:pStyle w:val="Naslov8"/>
        <w:jc w:val="left"/>
      </w:pPr>
      <w:r>
        <w:t>Opis aktivnosti</w:t>
      </w:r>
    </w:p>
    <w:p w14:paraId="4AAFE7B3" w14:textId="767131FE" w:rsidR="00BF394B" w:rsidRDefault="00BF1667">
      <w:r>
        <w:t xml:space="preserve">U okviru ove aktivnosti izvršenje se odnosi na realizirane aktivnosti u sklopu planiranih projekta gradnje i modernizacije te održavanja lučkih građevina.  </w:t>
      </w:r>
    </w:p>
    <w:p w14:paraId="34BBC8DC" w14:textId="1BDF6649" w:rsidR="00BF394B" w:rsidRDefault="00BF1667">
      <w:r>
        <w:lastRenderedPageBreak/>
        <w:t xml:space="preserve">Najznačajnija utrošena sredstva odnose se na projekt izgradnje pristaništa (riječne marine) u Batini gdje je u promatranom razdoblju ukupno utrošeno 1.332.607,94 eura. Završena je izgradnja pristaništa te su podmireni troškovi kompletnog nadzora nad radovima. Tijekom 2024. godine se očekuje otvaranje i razvrstavanje pristaništa.  </w:t>
      </w:r>
    </w:p>
    <w:p w14:paraId="07469E09" w14:textId="6F97CBF1" w:rsidR="00BF394B" w:rsidRDefault="00BF1667">
      <w:r>
        <w:t xml:space="preserve">Drugi najznačajniji rashod odnosi se na projekt izgradnje pristaništa u Nijemcima. Ukupni trošak u promatranom razdoblju iznosi 135.931,22 eura, a njime su podmireni troškovi radova, nadzora prilikom izgradnje, troškovi koordinatora te geodetske usluge. Navedenim aktivnostima izgradnja putničkog pristaništa je završena. Također, izrađen je elaborat pristanišnog područja te je u izradi analiza opravdanosti davanja koncesije. Predana je dokumentacija u nadležnu Lučku kapetaniju Vukovar u svrhu dodjele oznake i upisa u plutajućeg objekta u Upisnik.  </w:t>
      </w:r>
    </w:p>
    <w:p w14:paraId="4218048E" w14:textId="66409931" w:rsidR="00BF394B" w:rsidRDefault="00BF1667">
      <w:r>
        <w:t xml:space="preserve">U sklopu projekta izgradnje pristaništa u Dalju utrošeno je 49.481,65 eura za geodetske podloge za pripremu idejnog projekta, izradu projektne dokumentacije te izradu geotehničkog elaborata.  </w:t>
      </w:r>
    </w:p>
    <w:p w14:paraId="24ED349D" w14:textId="143A130D" w:rsidR="00BF394B" w:rsidRDefault="00BF1667">
      <w:r>
        <w:t xml:space="preserve">Projekt ugradnje dodatnih fingera u riječnoj marini „Marina“ u Vukovaru je završen uz izvršen pregled HRB-a. Ukupni trošak projekta iznosi 36.349,53 eura, a njime je obuhvaćen projekt sidrenja, plan izvođenja radova i sami radovi. Uz navedeno je u „Marini“ ugrađen novi sustav videonadzora vrijednosti 10.521,00 eura.  </w:t>
      </w:r>
    </w:p>
    <w:p w14:paraId="4552ED8D" w14:textId="0C0C3F4C" w:rsidR="00BF394B" w:rsidRDefault="00BF1667">
      <w:r>
        <w:t xml:space="preserve">Za planirani projekt izgradnje riječne marine u Andrijaševcima u promatranom razdoblju je izrađena projektna dokumentacija, ishođena je lokacijska dozvola te je podmiren trošak elaborata parcelacije pristanišnog područja, za što je ukupno utrošeno 90.046,01 eura.  </w:t>
      </w:r>
    </w:p>
    <w:p w14:paraId="79E710B1" w14:textId="06105E8A" w:rsidR="00BF394B" w:rsidRDefault="00BF1667">
      <w:r>
        <w:t xml:space="preserve">Ujedno, za planirani projekt izgradnje riječne marine na virovima u Otoku u promatranom razdoblju je utrošeno 33.346,60 eura za idejni projekt, projektnu dokumentaciju te lokacijsku dozvolu, a za projekt izgradnje riječne marine na Vučedolu u Vukovaru je utrošeno 36.625,00 eura za izradu projektnog zadataka te koncepcijskog rješenja.  </w:t>
      </w:r>
    </w:p>
    <w:p w14:paraId="1156BEBD" w14:textId="66E146B6" w:rsidR="00BF394B" w:rsidRDefault="00BF1667">
      <w:r>
        <w:t xml:space="preserve">U promatranom razdoblju za dva planirana projekta izrađeni su idejni projekt, projektni zadatak, koncepcijsko rješenje te geodetski elaborat. Jedan od njih je projekt izgradnje pristaništa u Privlaci gdje je za navedene aktivnosti utrošeno 23.693,75 eura, a drugi je projekt uređenja toka i obale rijeke Bosut na području općine Stari Jankovci za koji je utrošeno 23.381,25 eura.  </w:t>
      </w:r>
    </w:p>
    <w:p w14:paraId="787DD50C" w14:textId="40039522" w:rsidR="00BF394B" w:rsidRDefault="00BF1667">
      <w:r>
        <w:t xml:space="preserve">Na području luke i lučkog područja u promatranom razdoblju su učinjena dodatna ulaganja, a najznačajnija su nabava i ugradnja ograde oko lučkog područja vrijednosti 27.468,75 eura i ulaganja na skladišnoj zgradi – izrada fasade u vrijednosti 31.788,04 eura i nabava novih segmentnih vrata vrijednosti 32.862,50 eura. </w:t>
      </w:r>
    </w:p>
    <w:p w14:paraId="18FD45DA" w14:textId="783C37FB" w:rsidR="00E22310" w:rsidRDefault="00BF1667">
      <w:r>
        <w:t>U promatranom razdoblju provedeni su brojni projekti tekućeg i investicijskog održavanja na lučkom području. Jedan od značajnijih je izvedena sanacija industrijskih kolosijeka sukladno izvješću o izmjeri i vizualnom pregledu za koju je ukupno utrošeno 96.442,64 eura. U luci Vukovar je izvedena sanacija postojećih instalacija u luci Vukovar za koju je utrošeno 18.229,41 eura te izmještanje toplovoda u carinskom skladištu na lučkom području luke Vukovar u iznosu od 15.661,29 eura. Za uslugu bojanja pontona na putničkom pristaništu u Aljmašu utrošeno je 32.402,78 eura, a za redovne usluge uklanjanja nakupljenih naplavina na pristaništu Marina u Vukovaru i pristaništima u Iloku, Batini i Aljmašu utrošeno je 85.687,50 eura.</w:t>
      </w:r>
    </w:p>
    <w:p w14:paraId="636D8A3E" w14:textId="77777777" w:rsidR="00BF1667" w:rsidRDefault="00BF1667"/>
    <w:p w14:paraId="0EE8D2DA" w14:textId="77777777" w:rsidR="00BF394B" w:rsidRDefault="00BF1667">
      <w:pPr>
        <w:pStyle w:val="Naslov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53"/>
        <w:gridCol w:w="2553"/>
        <w:gridCol w:w="1020"/>
        <w:gridCol w:w="1020"/>
        <w:gridCol w:w="1020"/>
        <w:gridCol w:w="1020"/>
        <w:gridCol w:w="1020"/>
      </w:tblGrid>
      <w:tr w:rsidR="00BF394B" w14:paraId="24A09488" w14:textId="77777777">
        <w:trPr>
          <w:jc w:val="center"/>
        </w:trPr>
        <w:tc>
          <w:tcPr>
            <w:tcW w:w="2551" w:type="dxa"/>
            <w:shd w:val="clear" w:color="auto" w:fill="B5C0D8"/>
          </w:tcPr>
          <w:p w14:paraId="14EDAE4B" w14:textId="77777777" w:rsidR="00BF394B" w:rsidRDefault="00BF1667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14:paraId="7D443674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14:paraId="3CE9FDB9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14:paraId="77B7662A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14:paraId="51D74FCB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14:paraId="4C1D065F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(2023.)</w:t>
            </w:r>
          </w:p>
        </w:tc>
        <w:tc>
          <w:tcPr>
            <w:tcW w:w="1020" w:type="dxa"/>
            <w:shd w:val="clear" w:color="auto" w:fill="B5C0D8"/>
          </w:tcPr>
          <w:p w14:paraId="108A4C5F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(2023.)</w:t>
            </w:r>
          </w:p>
        </w:tc>
      </w:tr>
      <w:tr w:rsidR="00BF394B" w14:paraId="14739B7E" w14:textId="77777777">
        <w:trPr>
          <w:jc w:val="center"/>
        </w:trPr>
        <w:tc>
          <w:tcPr>
            <w:tcW w:w="2551" w:type="dxa"/>
          </w:tcPr>
          <w:p w14:paraId="3F6EEBD7" w14:textId="77777777" w:rsidR="00BF394B" w:rsidRDefault="00BF1667">
            <w:pPr>
              <w:pStyle w:val="CellColumn"/>
              <w:jc w:val="left"/>
            </w:pPr>
            <w:r>
              <w:rPr>
                <w:rFonts w:cs="Times New Roman"/>
              </w:rPr>
              <w:t>Povećanje broja izgrađenih  pristaništa</w:t>
            </w:r>
          </w:p>
        </w:tc>
        <w:tc>
          <w:tcPr>
            <w:tcW w:w="2551" w:type="dxa"/>
          </w:tcPr>
          <w:p w14:paraId="1D5A670E" w14:textId="77777777" w:rsidR="00BF394B" w:rsidRDefault="00BF1667">
            <w:pPr>
              <w:pStyle w:val="CellColumn"/>
              <w:jc w:val="left"/>
            </w:pPr>
            <w:r>
              <w:rPr>
                <w:rFonts w:cs="Times New Roman"/>
              </w:rPr>
              <w:t>Izgradnja putničkih pristaništa na području lokacije Vučedol, Vukovar, Andrijaševci, Otok te komunalnih  pristaništa na Otoku sportova u Vukovaru i Batini</w:t>
            </w:r>
          </w:p>
        </w:tc>
        <w:tc>
          <w:tcPr>
            <w:tcW w:w="1020" w:type="dxa"/>
          </w:tcPr>
          <w:p w14:paraId="303056A9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14:paraId="49794B50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6</w:t>
            </w:r>
          </w:p>
        </w:tc>
        <w:tc>
          <w:tcPr>
            <w:tcW w:w="1020" w:type="dxa"/>
          </w:tcPr>
          <w:p w14:paraId="4D4B2590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Lučka uprava Vukovar</w:t>
            </w:r>
          </w:p>
        </w:tc>
        <w:tc>
          <w:tcPr>
            <w:tcW w:w="1020" w:type="dxa"/>
          </w:tcPr>
          <w:p w14:paraId="56ECD58F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9</w:t>
            </w:r>
          </w:p>
        </w:tc>
        <w:tc>
          <w:tcPr>
            <w:tcW w:w="1020" w:type="dxa"/>
          </w:tcPr>
          <w:p w14:paraId="56C9BD64" w14:textId="4CEEE349" w:rsidR="00BF394B" w:rsidRDefault="0077011E">
            <w:pPr>
              <w:pStyle w:val="CellColumn"/>
              <w:jc w:val="right"/>
            </w:pPr>
            <w:r>
              <w:rPr>
                <w:rFonts w:cs="Times New Roman"/>
              </w:rPr>
              <w:t>7</w:t>
            </w:r>
          </w:p>
        </w:tc>
      </w:tr>
    </w:tbl>
    <w:p w14:paraId="3220F569" w14:textId="77777777" w:rsidR="00BF394B" w:rsidRDefault="00BF394B">
      <w:pPr>
        <w:jc w:val="left"/>
      </w:pPr>
    </w:p>
    <w:p w14:paraId="61E8DF94" w14:textId="77777777" w:rsidR="003B35CE" w:rsidRDefault="003B35CE">
      <w:pPr>
        <w:jc w:val="left"/>
      </w:pPr>
    </w:p>
    <w:p w14:paraId="5A612B73" w14:textId="77777777" w:rsidR="003B35CE" w:rsidRDefault="003B35CE">
      <w:pPr>
        <w:jc w:val="left"/>
      </w:pPr>
    </w:p>
    <w:p w14:paraId="5F4F6285" w14:textId="77777777" w:rsidR="003B35CE" w:rsidRDefault="003B35CE">
      <w:pPr>
        <w:jc w:val="left"/>
      </w:pPr>
    </w:p>
    <w:p w14:paraId="35737F4F" w14:textId="77777777" w:rsidR="00BF394B" w:rsidRDefault="00BF1667">
      <w:pPr>
        <w:pStyle w:val="Naslov4"/>
      </w:pPr>
      <w:r>
        <w:lastRenderedPageBreak/>
        <w:t>K930004 CEF 2014-2020 - PRIPREMA FAIRWAY 2 RADOVA NA KORIDORU RAJNA-DUNAV - PRIVEZIŠTA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BF394B" w14:paraId="1AA9E074" w14:textId="77777777">
        <w:trPr>
          <w:jc w:val="center"/>
        </w:trPr>
        <w:tc>
          <w:tcPr>
            <w:tcW w:w="1632" w:type="dxa"/>
            <w:shd w:val="clear" w:color="auto" w:fill="B5C0D8"/>
          </w:tcPr>
          <w:p w14:paraId="2AE7BC16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14:paraId="17276F49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Izvršenje 2022. (eur)</w:t>
            </w:r>
          </w:p>
        </w:tc>
        <w:tc>
          <w:tcPr>
            <w:tcW w:w="2041" w:type="dxa"/>
            <w:shd w:val="clear" w:color="auto" w:fill="B5C0D8"/>
          </w:tcPr>
          <w:p w14:paraId="5EE50E72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Plan 2023. (eur)</w:t>
            </w:r>
          </w:p>
        </w:tc>
        <w:tc>
          <w:tcPr>
            <w:tcW w:w="2041" w:type="dxa"/>
            <w:shd w:val="clear" w:color="auto" w:fill="B5C0D8"/>
          </w:tcPr>
          <w:p w14:paraId="14681DD5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224" w:type="dxa"/>
            <w:shd w:val="clear" w:color="auto" w:fill="B5C0D8"/>
          </w:tcPr>
          <w:p w14:paraId="794D35DD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2023./plan 2023.</w:t>
            </w:r>
          </w:p>
        </w:tc>
        <w:tc>
          <w:tcPr>
            <w:tcW w:w="1224" w:type="dxa"/>
            <w:shd w:val="clear" w:color="auto" w:fill="B5C0D8"/>
          </w:tcPr>
          <w:p w14:paraId="2218560C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2023./2022.</w:t>
            </w:r>
          </w:p>
        </w:tc>
      </w:tr>
      <w:tr w:rsidR="00BF394B" w14:paraId="07400AB0" w14:textId="77777777">
        <w:trPr>
          <w:jc w:val="center"/>
        </w:trPr>
        <w:tc>
          <w:tcPr>
            <w:tcW w:w="1632" w:type="dxa"/>
          </w:tcPr>
          <w:p w14:paraId="021490AB" w14:textId="77777777" w:rsidR="00BF394B" w:rsidRDefault="00BF1667">
            <w:pPr>
              <w:pStyle w:val="CellColumn"/>
              <w:jc w:val="left"/>
            </w:pPr>
            <w:r>
              <w:rPr>
                <w:rFonts w:cs="Times New Roman"/>
              </w:rPr>
              <w:t>K930004-CEF 2014-2020 - PRIPREMA FAIRWAY 2 RADOVA NA KORIDORU RAJNA-DUNAV - PRIVEZIŠTA</w:t>
            </w:r>
          </w:p>
        </w:tc>
        <w:tc>
          <w:tcPr>
            <w:tcW w:w="2041" w:type="dxa"/>
          </w:tcPr>
          <w:p w14:paraId="69FEB162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78.540</w:t>
            </w:r>
          </w:p>
        </w:tc>
        <w:tc>
          <w:tcPr>
            <w:tcW w:w="2041" w:type="dxa"/>
          </w:tcPr>
          <w:p w14:paraId="6AE7DE75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64.570</w:t>
            </w:r>
          </w:p>
        </w:tc>
        <w:tc>
          <w:tcPr>
            <w:tcW w:w="2041" w:type="dxa"/>
          </w:tcPr>
          <w:p w14:paraId="5C4E27E3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63.697</w:t>
            </w:r>
          </w:p>
        </w:tc>
        <w:tc>
          <w:tcPr>
            <w:tcW w:w="1224" w:type="dxa"/>
          </w:tcPr>
          <w:p w14:paraId="3D5D1332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98,6</w:t>
            </w:r>
          </w:p>
        </w:tc>
        <w:tc>
          <w:tcPr>
            <w:tcW w:w="1224" w:type="dxa"/>
          </w:tcPr>
          <w:p w14:paraId="36B635F0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81,1</w:t>
            </w:r>
          </w:p>
        </w:tc>
      </w:tr>
    </w:tbl>
    <w:p w14:paraId="3EE6B4E4" w14:textId="77777777" w:rsidR="00BF394B" w:rsidRDefault="00BF394B">
      <w:pPr>
        <w:jc w:val="left"/>
      </w:pPr>
    </w:p>
    <w:p w14:paraId="33B65616" w14:textId="77777777" w:rsidR="00BF394B" w:rsidRDefault="00BF1667">
      <w:pPr>
        <w:pStyle w:val="Naslov8"/>
        <w:jc w:val="left"/>
      </w:pPr>
      <w:r>
        <w:t>Zakonske i druge pravne osnove</w:t>
      </w:r>
    </w:p>
    <w:p w14:paraId="751159DD" w14:textId="77777777" w:rsidR="00BF394B" w:rsidRDefault="00BF1667">
      <w:r>
        <w:t xml:space="preserve">- Zakon o plovidbi i lukama unutarnjih voda  </w:t>
      </w:r>
    </w:p>
    <w:p w14:paraId="35B16541" w14:textId="77777777" w:rsidR="00BF394B" w:rsidRDefault="00BF1667">
      <w:r>
        <w:t xml:space="preserve">- Uredba o pristaništima unutarnjih voda  </w:t>
      </w:r>
    </w:p>
    <w:p w14:paraId="71862CBA" w14:textId="77777777" w:rsidR="00BF394B" w:rsidRDefault="00BF1667">
      <w:r>
        <w:t xml:space="preserve">- Strategija prometnog razvoja Republike Hrvatske 2017. – 2030., točke 2.7, 4.2.6 i 5.6.   </w:t>
      </w:r>
    </w:p>
    <w:p w14:paraId="436ECBAA" w14:textId="77777777" w:rsidR="00BF394B" w:rsidRDefault="00BF1667">
      <w:r>
        <w:t>- Ugovor o bespovratnim sredstvima  No INEA/CEF/TRAN/M2019/2113451</w:t>
      </w:r>
    </w:p>
    <w:p w14:paraId="0C880869" w14:textId="77777777" w:rsidR="00BF394B" w:rsidRDefault="00BF1667">
      <w:pPr>
        <w:pStyle w:val="Naslov8"/>
        <w:jc w:val="left"/>
      </w:pPr>
      <w:r>
        <w:t>Opis aktivnosti</w:t>
      </w:r>
    </w:p>
    <w:p w14:paraId="6A24DADF" w14:textId="4DCCF113" w:rsidR="00BF394B" w:rsidRDefault="00BF1667">
      <w:r>
        <w:t>Kroz ovaj projekt koji je dijelom nacionalno sufinanciran (15%), a dijelom iz EU sredstava (85%), u 2023. godini najznačajnija sredstva su utrošena na intelektualne usluge izrade studijske dokumentacije "Analiza infrastrukture privezišta za rijeke Dunav i Savu" (44.246,48 €), a stupanj dovršenosti projektne dokumentacije je iznad planiranog za 2023. godinu</w:t>
      </w:r>
      <w:r w:rsidR="00ED7C86">
        <w:t xml:space="preserve">, </w:t>
      </w:r>
      <w:r>
        <w:t>što znači da je tijekom 2023. godine finalizirana izrada studijsko projektne dokumentacije na razini projekta te do kraja trajanja projekta</w:t>
      </w:r>
      <w:r w:rsidR="00ED7C86">
        <w:t xml:space="preserve"> odnosno </w:t>
      </w:r>
      <w:r>
        <w:t xml:space="preserve">31. prosinca 2024. godine ostaju troškovi rada projektnog osoblja i putovanja na završnu konferenciju. </w:t>
      </w:r>
    </w:p>
    <w:p w14:paraId="22ED8504" w14:textId="1601E1CF" w:rsidR="00BF394B" w:rsidRDefault="00BF1667">
      <w:r>
        <w:t xml:space="preserve">Planirana sredstva nisu u potpunosti utrošena zbog manjih rashoda za zaposlene u odnosu na planirane i neuplaćenog predujma. Rashodima za zaposlene plaćeni su troškovi za plaće i doprinose za obvezno zdravstveno osiguranje troje zaposlenih na projektu, a izvršenje je manje od plana radi odstupanja u odnosu na stvarno obračunate troškove djelatnika. </w:t>
      </w:r>
    </w:p>
    <w:p w14:paraId="4BD5117E" w14:textId="77777777" w:rsidR="00E22310" w:rsidRDefault="00E22310"/>
    <w:p w14:paraId="0D14A26E" w14:textId="77777777" w:rsidR="00BF394B" w:rsidRDefault="00BF1667">
      <w:pPr>
        <w:pStyle w:val="Naslov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53"/>
        <w:gridCol w:w="2553"/>
        <w:gridCol w:w="1020"/>
        <w:gridCol w:w="1020"/>
        <w:gridCol w:w="1020"/>
        <w:gridCol w:w="1020"/>
        <w:gridCol w:w="1020"/>
      </w:tblGrid>
      <w:tr w:rsidR="00BF394B" w14:paraId="452D05E1" w14:textId="77777777">
        <w:trPr>
          <w:jc w:val="center"/>
        </w:trPr>
        <w:tc>
          <w:tcPr>
            <w:tcW w:w="2551" w:type="dxa"/>
            <w:shd w:val="clear" w:color="auto" w:fill="B5C0D8"/>
          </w:tcPr>
          <w:p w14:paraId="6BA7FD5F" w14:textId="77777777" w:rsidR="00BF394B" w:rsidRDefault="00BF1667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14:paraId="26B0142F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14:paraId="4C030D7D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14:paraId="2C295A04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14:paraId="496F0A9E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14:paraId="43F72DF5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(2023.)</w:t>
            </w:r>
          </w:p>
        </w:tc>
        <w:tc>
          <w:tcPr>
            <w:tcW w:w="1020" w:type="dxa"/>
            <w:shd w:val="clear" w:color="auto" w:fill="B5C0D8"/>
          </w:tcPr>
          <w:p w14:paraId="7CAAF2AE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(2023.)</w:t>
            </w:r>
          </w:p>
        </w:tc>
      </w:tr>
      <w:tr w:rsidR="00BF394B" w14:paraId="1518D2E5" w14:textId="77777777">
        <w:trPr>
          <w:jc w:val="center"/>
        </w:trPr>
        <w:tc>
          <w:tcPr>
            <w:tcW w:w="2551" w:type="dxa"/>
          </w:tcPr>
          <w:p w14:paraId="6B476E90" w14:textId="77777777" w:rsidR="00BF394B" w:rsidRDefault="00BF1667">
            <w:pPr>
              <w:pStyle w:val="CellColumn"/>
              <w:jc w:val="left"/>
            </w:pPr>
            <w:r>
              <w:rPr>
                <w:rFonts w:cs="Times New Roman"/>
              </w:rPr>
              <w:t>Stupanj dovršenosti projektne dokumentacije</w:t>
            </w:r>
          </w:p>
        </w:tc>
        <w:tc>
          <w:tcPr>
            <w:tcW w:w="2551" w:type="dxa"/>
          </w:tcPr>
          <w:p w14:paraId="2E6984BF" w14:textId="77777777" w:rsidR="00BF394B" w:rsidRDefault="00BF1667">
            <w:pPr>
              <w:pStyle w:val="CellColumn"/>
              <w:jc w:val="left"/>
            </w:pPr>
            <w:r>
              <w:rPr>
                <w:rFonts w:cs="Times New Roman"/>
              </w:rPr>
              <w:t>Pripremom projektne dokumentacije za radove na koridoru Rajna -Dunav-Privezišta stvara se preduvjet za procjenu potrebe izgradnje privezišta duž hrvatske dionice Dunava i Save</w:t>
            </w:r>
          </w:p>
        </w:tc>
        <w:tc>
          <w:tcPr>
            <w:tcW w:w="1020" w:type="dxa"/>
          </w:tcPr>
          <w:p w14:paraId="211665BC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%</w:t>
            </w:r>
          </w:p>
        </w:tc>
        <w:tc>
          <w:tcPr>
            <w:tcW w:w="1020" w:type="dxa"/>
          </w:tcPr>
          <w:p w14:paraId="7349A8AC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60</w:t>
            </w:r>
          </w:p>
        </w:tc>
        <w:tc>
          <w:tcPr>
            <w:tcW w:w="1020" w:type="dxa"/>
          </w:tcPr>
          <w:p w14:paraId="6BD8C458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Lučka uprava Vukovar</w:t>
            </w:r>
          </w:p>
        </w:tc>
        <w:tc>
          <w:tcPr>
            <w:tcW w:w="1020" w:type="dxa"/>
          </w:tcPr>
          <w:p w14:paraId="75F15987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86</w:t>
            </w:r>
          </w:p>
        </w:tc>
        <w:tc>
          <w:tcPr>
            <w:tcW w:w="1020" w:type="dxa"/>
          </w:tcPr>
          <w:p w14:paraId="47049018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</w:tr>
    </w:tbl>
    <w:p w14:paraId="745F5D6D" w14:textId="77777777" w:rsidR="00BF394B" w:rsidRDefault="00BF394B">
      <w:pPr>
        <w:jc w:val="left"/>
      </w:pPr>
    </w:p>
    <w:p w14:paraId="09900E52" w14:textId="77777777" w:rsidR="00BF394B" w:rsidRDefault="00BF1667">
      <w:pPr>
        <w:pStyle w:val="Naslov4"/>
      </w:pPr>
      <w:r>
        <w:lastRenderedPageBreak/>
        <w:t>K930005 CEF - PRIPREMA PROJEKTNE DOKUMENTACIJE ZA IZGRADNJU VERTIKALNE OBALE U LUCI VUKOVAR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803"/>
        <w:gridCol w:w="1992"/>
        <w:gridCol w:w="1988"/>
        <w:gridCol w:w="1992"/>
        <w:gridCol w:w="1213"/>
        <w:gridCol w:w="1218"/>
      </w:tblGrid>
      <w:tr w:rsidR="00BF394B" w14:paraId="61EE1B3C" w14:textId="77777777">
        <w:trPr>
          <w:jc w:val="center"/>
        </w:trPr>
        <w:tc>
          <w:tcPr>
            <w:tcW w:w="1632" w:type="dxa"/>
            <w:shd w:val="clear" w:color="auto" w:fill="B5C0D8"/>
          </w:tcPr>
          <w:p w14:paraId="76820CAB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14:paraId="762CF4C1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Izvršenje 2022. (eur)</w:t>
            </w:r>
          </w:p>
        </w:tc>
        <w:tc>
          <w:tcPr>
            <w:tcW w:w="2041" w:type="dxa"/>
            <w:shd w:val="clear" w:color="auto" w:fill="B5C0D8"/>
          </w:tcPr>
          <w:p w14:paraId="35B67B09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Plan 2023. (eur)</w:t>
            </w:r>
          </w:p>
        </w:tc>
        <w:tc>
          <w:tcPr>
            <w:tcW w:w="2041" w:type="dxa"/>
            <w:shd w:val="clear" w:color="auto" w:fill="B5C0D8"/>
          </w:tcPr>
          <w:p w14:paraId="349AE9E7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224" w:type="dxa"/>
            <w:shd w:val="clear" w:color="auto" w:fill="B5C0D8"/>
          </w:tcPr>
          <w:p w14:paraId="360C1065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2023./plan 2023.</w:t>
            </w:r>
          </w:p>
        </w:tc>
        <w:tc>
          <w:tcPr>
            <w:tcW w:w="1224" w:type="dxa"/>
            <w:shd w:val="clear" w:color="auto" w:fill="B5C0D8"/>
          </w:tcPr>
          <w:p w14:paraId="07DDC57E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2023./2022.</w:t>
            </w:r>
          </w:p>
        </w:tc>
      </w:tr>
      <w:tr w:rsidR="00BF394B" w14:paraId="2649A4D5" w14:textId="77777777">
        <w:trPr>
          <w:jc w:val="center"/>
        </w:trPr>
        <w:tc>
          <w:tcPr>
            <w:tcW w:w="1632" w:type="dxa"/>
          </w:tcPr>
          <w:p w14:paraId="0697A9F0" w14:textId="77777777" w:rsidR="00BF394B" w:rsidRDefault="00BF1667">
            <w:pPr>
              <w:pStyle w:val="CellColumn"/>
              <w:jc w:val="left"/>
            </w:pPr>
            <w:r>
              <w:rPr>
                <w:rFonts w:cs="Times New Roman"/>
              </w:rPr>
              <w:t>K930005-CEF - PRIPREMA PROJEKTNE DOKUMENTACIJE ZA IZGRADNJU VERTIKALNE OBALE U LUCI VUKOVAR</w:t>
            </w:r>
          </w:p>
        </w:tc>
        <w:tc>
          <w:tcPr>
            <w:tcW w:w="2041" w:type="dxa"/>
          </w:tcPr>
          <w:p w14:paraId="035F0733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256.610</w:t>
            </w:r>
          </w:p>
        </w:tc>
        <w:tc>
          <w:tcPr>
            <w:tcW w:w="2041" w:type="dxa"/>
          </w:tcPr>
          <w:p w14:paraId="6FA3ED0A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837.928</w:t>
            </w:r>
          </w:p>
        </w:tc>
        <w:tc>
          <w:tcPr>
            <w:tcW w:w="2041" w:type="dxa"/>
          </w:tcPr>
          <w:p w14:paraId="7EC99DB4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170.073</w:t>
            </w:r>
          </w:p>
        </w:tc>
        <w:tc>
          <w:tcPr>
            <w:tcW w:w="1224" w:type="dxa"/>
          </w:tcPr>
          <w:p w14:paraId="17B3F303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20,3</w:t>
            </w:r>
          </w:p>
        </w:tc>
        <w:tc>
          <w:tcPr>
            <w:tcW w:w="1224" w:type="dxa"/>
          </w:tcPr>
          <w:p w14:paraId="6D7E6DDD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66,3</w:t>
            </w:r>
          </w:p>
        </w:tc>
      </w:tr>
    </w:tbl>
    <w:p w14:paraId="7245486E" w14:textId="77777777" w:rsidR="00BF394B" w:rsidRDefault="00BF394B">
      <w:pPr>
        <w:jc w:val="left"/>
      </w:pPr>
    </w:p>
    <w:p w14:paraId="66F8A7FC" w14:textId="77777777" w:rsidR="00BF394B" w:rsidRDefault="00BF1667">
      <w:pPr>
        <w:pStyle w:val="Naslov8"/>
        <w:jc w:val="left"/>
      </w:pPr>
      <w:r>
        <w:t>Zakonske i druge pravne osnove</w:t>
      </w:r>
    </w:p>
    <w:p w14:paraId="6C514A7B" w14:textId="77777777" w:rsidR="00BF394B" w:rsidRDefault="00BF1667">
      <w:r>
        <w:t xml:space="preserve">- Zakon o plovidbi i lukama unutarnjih voda  </w:t>
      </w:r>
    </w:p>
    <w:p w14:paraId="05A34C05" w14:textId="77777777" w:rsidR="00BF394B" w:rsidRDefault="00BF1667">
      <w:r>
        <w:t xml:space="preserve">- Uredba o određivanju lučkog područja luke Vukovar  </w:t>
      </w:r>
    </w:p>
    <w:p w14:paraId="64A80EB1" w14:textId="77777777" w:rsidR="00BF394B" w:rsidRDefault="00BF1667">
      <w:r>
        <w:t xml:space="preserve">- Strategija prometnog razvoja Republike Hrvatske 2017.-2030., točka 2.7, 4.2.6 i 5.6.   </w:t>
      </w:r>
    </w:p>
    <w:p w14:paraId="1E4882F4" w14:textId="77777777" w:rsidR="00BF394B" w:rsidRDefault="00BF1667">
      <w:r>
        <w:t>- Ugovor o bespovratnim sredstvima sklopljen s INEA/CEF/TRAN/M2019/2114380</w:t>
      </w:r>
    </w:p>
    <w:p w14:paraId="5ED49EA2" w14:textId="77777777" w:rsidR="00BF394B" w:rsidRDefault="00BF1667">
      <w:pPr>
        <w:pStyle w:val="Naslov8"/>
        <w:jc w:val="left"/>
      </w:pPr>
      <w:r>
        <w:t>Opis aktivnosti</w:t>
      </w:r>
    </w:p>
    <w:p w14:paraId="4D893CFA" w14:textId="2C464D4C" w:rsidR="00BF394B" w:rsidRDefault="00BF1667">
      <w:r>
        <w:t xml:space="preserve">Kroz ovaj projekt koji je dijelom nacionalno sufinanciran (15%), a dijelom iz EU sredstava (85%), u 2023. godini najznačajnija sredstva utrošena su na pripremu projektne dokumentacije za izgradnju vertikalne obale u luci Vukovar, koja uključuje Nacrt Glavnog projekta u iznosu od 111.552,85 €, troškove rada povjerenstva za ishođenje rješenja o prihvatljivosti zahvata za okoliš u iznosu od 2.200,00 €, usluge revizije glavnog projekta u iznosu od 9.187,50 € te troškove izrade Elaborata optimalnog tehničkog rješenja priključenja i troškove prve rate za priključenje HEP-a u iznosu od 18.266,29 €. Stupanj dovršenosti projektne dokumentacije odstupa od planiranog  za 2023. godinu budući da je došlo do kašnjenja u ishođenju rješenja o prihvatljivosti zahvata za ekološku mrežu i okoliš što je u konačnici uzrokovalo kašnjenja u pripremi ostale dokumentacije (Finalna verzija glavnog projekta, podnošenje zahtjeva za lokacijsku i građevinsku dozvolu te izrada izvedbenog projekta). Također, utrošenim sredstvima plaćena je usluga praćenja projekta, pripreme dokumentacije, promidžbe i vidljivosti u iznosu od 26.903,28 €  te troškovi plaća za djelatnika Lučke uprave Vukovar koje se isplaćuju iz projekta, u ukupnom iznosu od 26.555,30 €. </w:t>
      </w:r>
    </w:p>
    <w:p w14:paraId="56E2B28D" w14:textId="7ACE5605" w:rsidR="003B35CE" w:rsidRDefault="00BF1667">
      <w:r>
        <w:t>Ukupno izvršenje projekta je manje od plana jer nisu utrošena sredstva za plaćanje troškova konferencije u organizaciji Lučke uprave Vukovar radi kašnjenja provedbe projektnih aktivnosti. Ukupno manje utrošena sredstva rezultat su  izostanka isporuke Glavnog projekta te plaćanja usluga povezanih s ishođenjem rješenja o prihvatljivosti zahvata za ekološku mrežu i okoliš. Kako do kraja trajanja ugovora o pripremi projektne dokumentacije 15. prosinca 2023. godine, odabrani konzorciji radi kašnjenja u procesima javno pravnih tijela nije isporučio sve isporučevine koje su trebale biti plaćene, ugovor je produljen do 15. rujna 2024. godine za kada je planirano plaćanje preostalog iznosa ugovora.</w:t>
      </w:r>
    </w:p>
    <w:p w14:paraId="69FA7555" w14:textId="77777777" w:rsidR="00BF394B" w:rsidRDefault="00BF1667">
      <w:pPr>
        <w:pStyle w:val="Naslov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53"/>
        <w:gridCol w:w="2553"/>
        <w:gridCol w:w="1020"/>
        <w:gridCol w:w="1020"/>
        <w:gridCol w:w="1020"/>
        <w:gridCol w:w="1020"/>
        <w:gridCol w:w="1020"/>
      </w:tblGrid>
      <w:tr w:rsidR="00BF394B" w14:paraId="7E7F4F81" w14:textId="77777777">
        <w:trPr>
          <w:jc w:val="center"/>
        </w:trPr>
        <w:tc>
          <w:tcPr>
            <w:tcW w:w="2551" w:type="dxa"/>
            <w:shd w:val="clear" w:color="auto" w:fill="B5C0D8"/>
          </w:tcPr>
          <w:p w14:paraId="48742C2C" w14:textId="77777777" w:rsidR="00BF394B" w:rsidRDefault="00BF1667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14:paraId="2BCF7C36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14:paraId="51DCF07E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14:paraId="2402F98D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14:paraId="212C5FA8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14:paraId="3E5E63CF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(2023.)</w:t>
            </w:r>
          </w:p>
        </w:tc>
        <w:tc>
          <w:tcPr>
            <w:tcW w:w="1020" w:type="dxa"/>
            <w:shd w:val="clear" w:color="auto" w:fill="B5C0D8"/>
          </w:tcPr>
          <w:p w14:paraId="4627C362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(2023.)</w:t>
            </w:r>
          </w:p>
        </w:tc>
      </w:tr>
      <w:tr w:rsidR="00BF394B" w14:paraId="2C72CF47" w14:textId="77777777">
        <w:trPr>
          <w:jc w:val="center"/>
        </w:trPr>
        <w:tc>
          <w:tcPr>
            <w:tcW w:w="2551" w:type="dxa"/>
          </w:tcPr>
          <w:p w14:paraId="7519FDF3" w14:textId="77777777" w:rsidR="00BF394B" w:rsidRDefault="00BF1667">
            <w:pPr>
              <w:pStyle w:val="CellColumn"/>
              <w:jc w:val="left"/>
            </w:pPr>
            <w:r>
              <w:rPr>
                <w:rFonts w:cs="Times New Roman"/>
              </w:rPr>
              <w:t>Stupanj dovršenosti projektne dokument acije</w:t>
            </w:r>
          </w:p>
        </w:tc>
        <w:tc>
          <w:tcPr>
            <w:tcW w:w="2551" w:type="dxa"/>
          </w:tcPr>
          <w:p w14:paraId="01303750" w14:textId="77777777" w:rsidR="00BF394B" w:rsidRDefault="00BF1667">
            <w:pPr>
              <w:pStyle w:val="CellColumn"/>
              <w:jc w:val="left"/>
            </w:pPr>
            <w:r>
              <w:rPr>
                <w:rFonts w:cs="Times New Roman"/>
              </w:rPr>
              <w:t>Pripremom projektne dokumentacije stvara se preduvjet za realizaciju izgradnje vertikalne obale što će rezultirati povećanjem kapaciteta i konkurentnosti luke Vukovar</w:t>
            </w:r>
          </w:p>
        </w:tc>
        <w:tc>
          <w:tcPr>
            <w:tcW w:w="1020" w:type="dxa"/>
          </w:tcPr>
          <w:p w14:paraId="31C6980F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%</w:t>
            </w:r>
          </w:p>
        </w:tc>
        <w:tc>
          <w:tcPr>
            <w:tcW w:w="1020" w:type="dxa"/>
          </w:tcPr>
          <w:p w14:paraId="2AC4406F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26</w:t>
            </w:r>
          </w:p>
        </w:tc>
        <w:tc>
          <w:tcPr>
            <w:tcW w:w="1020" w:type="dxa"/>
          </w:tcPr>
          <w:p w14:paraId="45E89E28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Lučka uprava Vukovar</w:t>
            </w:r>
          </w:p>
        </w:tc>
        <w:tc>
          <w:tcPr>
            <w:tcW w:w="1020" w:type="dxa"/>
          </w:tcPr>
          <w:p w14:paraId="08082CBA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80</w:t>
            </w:r>
          </w:p>
        </w:tc>
        <w:tc>
          <w:tcPr>
            <w:tcW w:w="1020" w:type="dxa"/>
          </w:tcPr>
          <w:p w14:paraId="3CA8A29A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45</w:t>
            </w:r>
          </w:p>
        </w:tc>
      </w:tr>
    </w:tbl>
    <w:p w14:paraId="4B86AEC2" w14:textId="77777777" w:rsidR="00BF394B" w:rsidRDefault="00BF394B">
      <w:pPr>
        <w:jc w:val="left"/>
      </w:pPr>
    </w:p>
    <w:p w14:paraId="08EB2BC3" w14:textId="77777777" w:rsidR="00BF394B" w:rsidRDefault="00BF1667">
      <w:pPr>
        <w:pStyle w:val="Naslov4"/>
      </w:pPr>
      <w:r>
        <w:lastRenderedPageBreak/>
        <w:t>K930007 CEF - FAIRWAY DANUBE II - BUDUĆI KORACI ZA UNAPRJEĐENJE PLOVIDBE NA DUNAVU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BF394B" w14:paraId="3808195D" w14:textId="77777777">
        <w:trPr>
          <w:jc w:val="center"/>
        </w:trPr>
        <w:tc>
          <w:tcPr>
            <w:tcW w:w="1632" w:type="dxa"/>
            <w:shd w:val="clear" w:color="auto" w:fill="B5C0D8"/>
          </w:tcPr>
          <w:p w14:paraId="40FA7ECE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14:paraId="64DF69B1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Izvršenje 2022. (eur)</w:t>
            </w:r>
          </w:p>
        </w:tc>
        <w:tc>
          <w:tcPr>
            <w:tcW w:w="2041" w:type="dxa"/>
            <w:shd w:val="clear" w:color="auto" w:fill="B5C0D8"/>
          </w:tcPr>
          <w:p w14:paraId="69E6A8BA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Plan 2023. (eur)</w:t>
            </w:r>
          </w:p>
        </w:tc>
        <w:tc>
          <w:tcPr>
            <w:tcW w:w="2041" w:type="dxa"/>
            <w:shd w:val="clear" w:color="auto" w:fill="B5C0D8"/>
          </w:tcPr>
          <w:p w14:paraId="50E3EA52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224" w:type="dxa"/>
            <w:shd w:val="clear" w:color="auto" w:fill="B5C0D8"/>
          </w:tcPr>
          <w:p w14:paraId="52A12434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2023./plan 2023.</w:t>
            </w:r>
          </w:p>
        </w:tc>
        <w:tc>
          <w:tcPr>
            <w:tcW w:w="1224" w:type="dxa"/>
            <w:shd w:val="clear" w:color="auto" w:fill="B5C0D8"/>
          </w:tcPr>
          <w:p w14:paraId="0AF6C59F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2023./2022.</w:t>
            </w:r>
          </w:p>
        </w:tc>
      </w:tr>
      <w:tr w:rsidR="00BF394B" w14:paraId="3B801F42" w14:textId="77777777">
        <w:trPr>
          <w:jc w:val="center"/>
        </w:trPr>
        <w:tc>
          <w:tcPr>
            <w:tcW w:w="1632" w:type="dxa"/>
          </w:tcPr>
          <w:p w14:paraId="29C1CBE5" w14:textId="77777777" w:rsidR="00BF394B" w:rsidRDefault="00BF1667">
            <w:pPr>
              <w:pStyle w:val="CellColumn"/>
              <w:jc w:val="left"/>
            </w:pPr>
            <w:r>
              <w:rPr>
                <w:rFonts w:cs="Times New Roman"/>
              </w:rPr>
              <w:t>K930007-CEF - FAIRWAY DANUBE II - BUDUĆI KORACI ZA UNAPRJEĐENJE PLOVIDBE NA DUNAVU</w:t>
            </w:r>
          </w:p>
        </w:tc>
        <w:tc>
          <w:tcPr>
            <w:tcW w:w="2041" w:type="dxa"/>
          </w:tcPr>
          <w:p w14:paraId="0AB7D222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00</w:t>
            </w:r>
          </w:p>
        </w:tc>
        <w:tc>
          <w:tcPr>
            <w:tcW w:w="2041" w:type="dxa"/>
          </w:tcPr>
          <w:p w14:paraId="49050FD5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17.875</w:t>
            </w:r>
          </w:p>
        </w:tc>
        <w:tc>
          <w:tcPr>
            <w:tcW w:w="2041" w:type="dxa"/>
          </w:tcPr>
          <w:p w14:paraId="623D4208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3.876</w:t>
            </w:r>
          </w:p>
        </w:tc>
        <w:tc>
          <w:tcPr>
            <w:tcW w:w="1224" w:type="dxa"/>
          </w:tcPr>
          <w:p w14:paraId="631B1D12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21,7</w:t>
            </w:r>
          </w:p>
        </w:tc>
        <w:tc>
          <w:tcPr>
            <w:tcW w:w="1224" w:type="dxa"/>
          </w:tcPr>
          <w:p w14:paraId="22373886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0,0</w:t>
            </w:r>
          </w:p>
        </w:tc>
      </w:tr>
    </w:tbl>
    <w:p w14:paraId="3D3BF1C1" w14:textId="77777777" w:rsidR="00BF394B" w:rsidRDefault="00BF394B">
      <w:pPr>
        <w:jc w:val="left"/>
      </w:pPr>
    </w:p>
    <w:p w14:paraId="3FB65D98" w14:textId="77777777" w:rsidR="00BF394B" w:rsidRDefault="00BF1667">
      <w:pPr>
        <w:pStyle w:val="Naslov8"/>
        <w:jc w:val="left"/>
      </w:pPr>
      <w:r>
        <w:t>Zakonske i druge pravne osnove</w:t>
      </w:r>
    </w:p>
    <w:p w14:paraId="523159F3" w14:textId="77777777" w:rsidR="00BF394B" w:rsidRDefault="00BF1667">
      <w:r>
        <w:t xml:space="preserve">- Zakon o plovidbi i lukama unutarnjih voda (NN 144/21)  </w:t>
      </w:r>
    </w:p>
    <w:p w14:paraId="4A548EED" w14:textId="77777777" w:rsidR="00BF394B" w:rsidRDefault="00BF1667">
      <w:r>
        <w:t>- Strategija prometnog razvoja Republike Hrvatske 2017. – 2030., točke 2.7, 4.2.6 i 5.6.</w:t>
      </w:r>
    </w:p>
    <w:p w14:paraId="28FBF729" w14:textId="77777777" w:rsidR="00BF394B" w:rsidRDefault="00BF1667">
      <w:pPr>
        <w:pStyle w:val="Naslov8"/>
        <w:jc w:val="left"/>
      </w:pPr>
      <w:r>
        <w:t>Opis aktivnosti</w:t>
      </w:r>
    </w:p>
    <w:p w14:paraId="5E56FE72" w14:textId="7B7F75AA" w:rsidR="00E22310" w:rsidRDefault="00BF1667">
      <w:r>
        <w:t>Lučka uprava Vukovar sudjeluje u projektu kao pridruženi partner u provedbi radnog paketa WP6 koji se odnosi na pripremu Studija za dogradnju infrastrukture za privezište sa ukupnim budžetom od 317.000,00 eura. Planirana sredstva u 2023. godini bila su predviđena su za izradu Idejnog rješenja privezišta u Vukovaru te za troškove službenog putovanja u sklopu provedbe projekta. Za izradu idejnog rješenja proveden je postupak javne nabave, a  idejno rješenje je sukladno planiranom izrađeno u prosincu 2023.</w:t>
      </w:r>
      <w:r w:rsidR="003E357C">
        <w:t xml:space="preserve"> godine </w:t>
      </w:r>
      <w:r>
        <w:t>s valutom plaćanja u 2024. godini. Utrošeni iznos u izvještajnom razdoblju odnosi se na troškove službenog putovanja za dva radna sastanka koja su organizirana u sklopu projekta.</w:t>
      </w:r>
    </w:p>
    <w:p w14:paraId="4860E3ED" w14:textId="77777777" w:rsidR="003B35CE" w:rsidRDefault="003B35CE"/>
    <w:p w14:paraId="3CA30D9C" w14:textId="77777777" w:rsidR="00BF394B" w:rsidRDefault="00BF1667">
      <w:pPr>
        <w:pStyle w:val="Naslov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53"/>
        <w:gridCol w:w="2553"/>
        <w:gridCol w:w="1020"/>
        <w:gridCol w:w="1020"/>
        <w:gridCol w:w="1020"/>
        <w:gridCol w:w="1020"/>
        <w:gridCol w:w="1020"/>
      </w:tblGrid>
      <w:tr w:rsidR="00BF394B" w14:paraId="50ACDB47" w14:textId="77777777">
        <w:trPr>
          <w:jc w:val="center"/>
        </w:trPr>
        <w:tc>
          <w:tcPr>
            <w:tcW w:w="2551" w:type="dxa"/>
            <w:shd w:val="clear" w:color="auto" w:fill="B5C0D8"/>
          </w:tcPr>
          <w:p w14:paraId="564DF801" w14:textId="77777777" w:rsidR="00BF394B" w:rsidRDefault="00BF1667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14:paraId="08303282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14:paraId="3C0E472B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14:paraId="0ACD2154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14:paraId="7A844BC9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14:paraId="405C47AB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(2023.)</w:t>
            </w:r>
          </w:p>
        </w:tc>
        <w:tc>
          <w:tcPr>
            <w:tcW w:w="1020" w:type="dxa"/>
            <w:shd w:val="clear" w:color="auto" w:fill="B5C0D8"/>
          </w:tcPr>
          <w:p w14:paraId="2F364975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(2023.)</w:t>
            </w:r>
          </w:p>
        </w:tc>
      </w:tr>
      <w:tr w:rsidR="00BF394B" w14:paraId="5125FD64" w14:textId="77777777">
        <w:trPr>
          <w:jc w:val="center"/>
        </w:trPr>
        <w:tc>
          <w:tcPr>
            <w:tcW w:w="2551" w:type="dxa"/>
          </w:tcPr>
          <w:p w14:paraId="12652177" w14:textId="77777777" w:rsidR="00BF394B" w:rsidRDefault="00BF1667">
            <w:pPr>
              <w:pStyle w:val="CellColumn"/>
              <w:jc w:val="left"/>
            </w:pPr>
            <w:r>
              <w:rPr>
                <w:rFonts w:cs="Times New Roman"/>
              </w:rPr>
              <w:t>Stupanj dovršenosti projektne dokumentacije</w:t>
            </w:r>
          </w:p>
        </w:tc>
        <w:tc>
          <w:tcPr>
            <w:tcW w:w="2551" w:type="dxa"/>
          </w:tcPr>
          <w:p w14:paraId="4CC19092" w14:textId="77777777" w:rsidR="00BF394B" w:rsidRDefault="00BF1667">
            <w:pPr>
              <w:pStyle w:val="CellColumn"/>
              <w:jc w:val="left"/>
            </w:pPr>
            <w:r>
              <w:rPr>
                <w:rFonts w:cs="Times New Roman"/>
              </w:rPr>
              <w:t>Pripremom studijsko-projektne dokumentacije stvara se preduvjet za izgradnju privezišta – mjesta za boravak plovila na vodnom putu u svrhu izmjene i kraćeg odmora posade plovila</w:t>
            </w:r>
          </w:p>
        </w:tc>
        <w:tc>
          <w:tcPr>
            <w:tcW w:w="1020" w:type="dxa"/>
          </w:tcPr>
          <w:p w14:paraId="38D40FAD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%</w:t>
            </w:r>
          </w:p>
        </w:tc>
        <w:tc>
          <w:tcPr>
            <w:tcW w:w="1020" w:type="dxa"/>
          </w:tcPr>
          <w:p w14:paraId="3A6A2322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14:paraId="14D2AD8A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Lučka uprava Vukovar</w:t>
            </w:r>
          </w:p>
        </w:tc>
        <w:tc>
          <w:tcPr>
            <w:tcW w:w="1020" w:type="dxa"/>
          </w:tcPr>
          <w:p w14:paraId="715846F8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10</w:t>
            </w:r>
          </w:p>
        </w:tc>
        <w:tc>
          <w:tcPr>
            <w:tcW w:w="1020" w:type="dxa"/>
          </w:tcPr>
          <w:p w14:paraId="62A78F01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10</w:t>
            </w:r>
          </w:p>
        </w:tc>
      </w:tr>
    </w:tbl>
    <w:p w14:paraId="3976D1FA" w14:textId="77777777" w:rsidR="00BF394B" w:rsidRDefault="00BF394B">
      <w:pPr>
        <w:jc w:val="left"/>
      </w:pPr>
    </w:p>
    <w:p w14:paraId="665C285B" w14:textId="77777777" w:rsidR="00BF1667" w:rsidRDefault="00BF1667">
      <w:pPr>
        <w:jc w:val="left"/>
      </w:pPr>
    </w:p>
    <w:p w14:paraId="2483C16C" w14:textId="77777777" w:rsidR="00BF1667" w:rsidRDefault="00BF1667">
      <w:pPr>
        <w:jc w:val="left"/>
      </w:pPr>
    </w:p>
    <w:p w14:paraId="33463F8F" w14:textId="77777777" w:rsidR="00BF1667" w:rsidRDefault="00BF1667">
      <w:pPr>
        <w:jc w:val="left"/>
      </w:pPr>
    </w:p>
    <w:p w14:paraId="1E6225D6" w14:textId="77777777" w:rsidR="00BF394B" w:rsidRDefault="00BF1667">
      <w:pPr>
        <w:pStyle w:val="Naslov4"/>
      </w:pPr>
      <w:r>
        <w:lastRenderedPageBreak/>
        <w:t>T930003 INTERREG DIONYSUS - INTEGRACIJA DUNAVSKE REGIJE U PAMETAN I ODRŽIV MULTIMODALNI I INTERMODALNI TRANSPORTNI LANAC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92"/>
        <w:gridCol w:w="2025"/>
        <w:gridCol w:w="2021"/>
        <w:gridCol w:w="2025"/>
        <w:gridCol w:w="1221"/>
        <w:gridCol w:w="1222"/>
      </w:tblGrid>
      <w:tr w:rsidR="00BF394B" w14:paraId="510D95B9" w14:textId="77777777">
        <w:trPr>
          <w:jc w:val="center"/>
        </w:trPr>
        <w:tc>
          <w:tcPr>
            <w:tcW w:w="1632" w:type="dxa"/>
            <w:shd w:val="clear" w:color="auto" w:fill="B5C0D8"/>
          </w:tcPr>
          <w:p w14:paraId="36523731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14:paraId="0B1C3257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Izvršenje 2022. (eur)</w:t>
            </w:r>
          </w:p>
        </w:tc>
        <w:tc>
          <w:tcPr>
            <w:tcW w:w="2041" w:type="dxa"/>
            <w:shd w:val="clear" w:color="auto" w:fill="B5C0D8"/>
          </w:tcPr>
          <w:p w14:paraId="53C3D76C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Plan 2023. (eur)</w:t>
            </w:r>
          </w:p>
        </w:tc>
        <w:tc>
          <w:tcPr>
            <w:tcW w:w="2041" w:type="dxa"/>
            <w:shd w:val="clear" w:color="auto" w:fill="B5C0D8"/>
          </w:tcPr>
          <w:p w14:paraId="1B2C1D55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224" w:type="dxa"/>
            <w:shd w:val="clear" w:color="auto" w:fill="B5C0D8"/>
          </w:tcPr>
          <w:p w14:paraId="066E0A38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2023./plan 2023.</w:t>
            </w:r>
          </w:p>
        </w:tc>
        <w:tc>
          <w:tcPr>
            <w:tcW w:w="1224" w:type="dxa"/>
            <w:shd w:val="clear" w:color="auto" w:fill="B5C0D8"/>
          </w:tcPr>
          <w:p w14:paraId="468AACA2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2023./2022.</w:t>
            </w:r>
          </w:p>
        </w:tc>
      </w:tr>
      <w:tr w:rsidR="00BF394B" w14:paraId="2036D514" w14:textId="77777777">
        <w:trPr>
          <w:jc w:val="center"/>
        </w:trPr>
        <w:tc>
          <w:tcPr>
            <w:tcW w:w="1632" w:type="dxa"/>
          </w:tcPr>
          <w:p w14:paraId="1135B001" w14:textId="77777777" w:rsidR="00BF394B" w:rsidRDefault="00BF1667">
            <w:pPr>
              <w:pStyle w:val="CellColumn"/>
              <w:jc w:val="left"/>
            </w:pPr>
            <w:r>
              <w:rPr>
                <w:rFonts w:cs="Times New Roman"/>
              </w:rPr>
              <w:t>T930003-INTERREG DIONYSUS - INTEGRACIJA DUNAVSKE REGIJE U PAMETAN I ODRŽIV MULTIMODALNI I INTERMODALNI TRANSPORTNI LANAC</w:t>
            </w:r>
          </w:p>
        </w:tc>
        <w:tc>
          <w:tcPr>
            <w:tcW w:w="2041" w:type="dxa"/>
          </w:tcPr>
          <w:p w14:paraId="53ADC904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94.480</w:t>
            </w:r>
          </w:p>
        </w:tc>
        <w:tc>
          <w:tcPr>
            <w:tcW w:w="2041" w:type="dxa"/>
          </w:tcPr>
          <w:p w14:paraId="4D057033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329</w:t>
            </w:r>
          </w:p>
        </w:tc>
        <w:tc>
          <w:tcPr>
            <w:tcW w:w="2041" w:type="dxa"/>
          </w:tcPr>
          <w:p w14:paraId="64AE34E2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327</w:t>
            </w:r>
          </w:p>
        </w:tc>
        <w:tc>
          <w:tcPr>
            <w:tcW w:w="1224" w:type="dxa"/>
          </w:tcPr>
          <w:p w14:paraId="0A2FB293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99,4</w:t>
            </w:r>
          </w:p>
        </w:tc>
        <w:tc>
          <w:tcPr>
            <w:tcW w:w="1224" w:type="dxa"/>
          </w:tcPr>
          <w:p w14:paraId="62E2572A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0,3</w:t>
            </w:r>
          </w:p>
        </w:tc>
      </w:tr>
    </w:tbl>
    <w:p w14:paraId="72992C8A" w14:textId="77777777" w:rsidR="00BF394B" w:rsidRDefault="00BF394B">
      <w:pPr>
        <w:jc w:val="left"/>
      </w:pPr>
    </w:p>
    <w:p w14:paraId="794EA6E3" w14:textId="77777777" w:rsidR="00BF394B" w:rsidRDefault="00BF1667">
      <w:pPr>
        <w:pStyle w:val="Naslov8"/>
        <w:jc w:val="left"/>
      </w:pPr>
      <w:r>
        <w:t>Zakonske i druge pravne osnove</w:t>
      </w:r>
    </w:p>
    <w:p w14:paraId="59653CF0" w14:textId="77777777" w:rsidR="00BF394B" w:rsidRDefault="00BF1667">
      <w:r>
        <w:t xml:space="preserve">- Zakon o plovidbi i lukama unutarnjih voda  </w:t>
      </w:r>
    </w:p>
    <w:p w14:paraId="1BDFA160" w14:textId="77777777" w:rsidR="00BF394B" w:rsidRDefault="00BF1667">
      <w:r>
        <w:t>- Ugovor o subvenciji za provedbu projekta DIONYSUS; sklopljen sa upravljačkim tijelom Dunavskog transnacionalnog programa; broj: DTP3-576-3.1-DIONYSUS, od 01.09.2020. godine</w:t>
      </w:r>
    </w:p>
    <w:p w14:paraId="6D3E9FB6" w14:textId="77777777" w:rsidR="00BF394B" w:rsidRDefault="00BF1667">
      <w:pPr>
        <w:pStyle w:val="Naslov8"/>
        <w:jc w:val="left"/>
      </w:pPr>
      <w:r>
        <w:t>Opis aktivnosti</w:t>
      </w:r>
    </w:p>
    <w:p w14:paraId="16820008" w14:textId="77777777" w:rsidR="00BF394B" w:rsidRDefault="00BF1667">
      <w:r>
        <w:t>Ovaj projekt je započeo sa svojom provedbom 1.7.2020. godine, a provedba projektnih aktivnosti trajala je 30 mjeseci, stoga je službeni završetak projekta bio 31.12.2022. godine. Budući da se trošak osoblja iskazuje kroz angažman djelatnika u postotku od bruto plaće, u promatranom razdoblju ove godine isključivo su podmireni troškovi osoblja (plaće) za mjesec prosinac 2022. godine u iznosu od 327, 15 eura.</w:t>
      </w:r>
    </w:p>
    <w:p w14:paraId="2B9CE706" w14:textId="77777777" w:rsidR="00BF1667" w:rsidRDefault="00BF1667"/>
    <w:p w14:paraId="1447F093" w14:textId="77777777" w:rsidR="00BF394B" w:rsidRDefault="00BF1667">
      <w:pPr>
        <w:pStyle w:val="Naslov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53"/>
        <w:gridCol w:w="2553"/>
        <w:gridCol w:w="1020"/>
        <w:gridCol w:w="1020"/>
        <w:gridCol w:w="1020"/>
        <w:gridCol w:w="1020"/>
        <w:gridCol w:w="1020"/>
      </w:tblGrid>
      <w:tr w:rsidR="00BF394B" w14:paraId="41116C90" w14:textId="77777777" w:rsidTr="00E22310">
        <w:trPr>
          <w:jc w:val="center"/>
        </w:trPr>
        <w:tc>
          <w:tcPr>
            <w:tcW w:w="2553" w:type="dxa"/>
            <w:shd w:val="clear" w:color="auto" w:fill="B5C0D8"/>
          </w:tcPr>
          <w:p w14:paraId="26E4FDB0" w14:textId="77777777" w:rsidR="00BF394B" w:rsidRDefault="00BF1667">
            <w:pPr>
              <w:jc w:val="center"/>
            </w:pPr>
            <w:r>
              <w:t>Pokazatelj rezultata</w:t>
            </w:r>
          </w:p>
        </w:tc>
        <w:tc>
          <w:tcPr>
            <w:tcW w:w="2553" w:type="dxa"/>
            <w:shd w:val="clear" w:color="auto" w:fill="B5C0D8"/>
          </w:tcPr>
          <w:p w14:paraId="39E50AF3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14:paraId="22E1E718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14:paraId="4F6B3CE3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14:paraId="600BC101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14:paraId="3DF83CD3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(2023.)</w:t>
            </w:r>
          </w:p>
        </w:tc>
        <w:tc>
          <w:tcPr>
            <w:tcW w:w="1020" w:type="dxa"/>
            <w:shd w:val="clear" w:color="auto" w:fill="B5C0D8"/>
          </w:tcPr>
          <w:p w14:paraId="77422EFC" w14:textId="77777777" w:rsidR="00BF394B" w:rsidRDefault="00BF1667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(2023.)</w:t>
            </w:r>
          </w:p>
        </w:tc>
      </w:tr>
      <w:tr w:rsidR="00BF394B" w14:paraId="37B406AE" w14:textId="77777777" w:rsidTr="00E22310">
        <w:trPr>
          <w:jc w:val="center"/>
        </w:trPr>
        <w:tc>
          <w:tcPr>
            <w:tcW w:w="2553" w:type="dxa"/>
          </w:tcPr>
          <w:p w14:paraId="547EA342" w14:textId="77777777" w:rsidR="00BF394B" w:rsidRDefault="00BF1667">
            <w:pPr>
              <w:pStyle w:val="CellColumn"/>
              <w:jc w:val="left"/>
            </w:pPr>
            <w:r>
              <w:rPr>
                <w:rFonts w:cs="Times New Roman"/>
              </w:rPr>
              <w:t>Udio izvršenih aktivnosti u okviru projekta</w:t>
            </w:r>
          </w:p>
        </w:tc>
        <w:tc>
          <w:tcPr>
            <w:tcW w:w="2553" w:type="dxa"/>
          </w:tcPr>
          <w:p w14:paraId="1949F7BE" w14:textId="77777777" w:rsidR="00BF394B" w:rsidRDefault="00BF1667">
            <w:pPr>
              <w:pStyle w:val="CellColumn"/>
              <w:jc w:val="left"/>
            </w:pPr>
            <w:r>
              <w:rPr>
                <w:rFonts w:cs="Times New Roman"/>
              </w:rPr>
              <w:t>Kroz projektnu aktivnost Izrade razvojnog plana luke Vukovar stvara se preduvjet za integrirani razvoj luke</w:t>
            </w:r>
          </w:p>
        </w:tc>
        <w:tc>
          <w:tcPr>
            <w:tcW w:w="1020" w:type="dxa"/>
          </w:tcPr>
          <w:p w14:paraId="45B1E28E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%</w:t>
            </w:r>
          </w:p>
        </w:tc>
        <w:tc>
          <w:tcPr>
            <w:tcW w:w="1020" w:type="dxa"/>
          </w:tcPr>
          <w:p w14:paraId="544D33B5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97</w:t>
            </w:r>
          </w:p>
        </w:tc>
        <w:tc>
          <w:tcPr>
            <w:tcW w:w="1020" w:type="dxa"/>
          </w:tcPr>
          <w:p w14:paraId="30C58397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Lučka uprava Vukovar</w:t>
            </w:r>
          </w:p>
        </w:tc>
        <w:tc>
          <w:tcPr>
            <w:tcW w:w="1020" w:type="dxa"/>
          </w:tcPr>
          <w:p w14:paraId="245613B8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  <w:tc>
          <w:tcPr>
            <w:tcW w:w="1020" w:type="dxa"/>
          </w:tcPr>
          <w:p w14:paraId="153F47D9" w14:textId="77777777" w:rsidR="00BF394B" w:rsidRDefault="00BF1667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</w:tr>
    </w:tbl>
    <w:p w14:paraId="79E3C5FF" w14:textId="77777777" w:rsidR="00E22310" w:rsidRDefault="00E22310" w:rsidP="00E22310">
      <w:pPr>
        <w:rPr>
          <w:color w:val="000000"/>
          <w:sz w:val="24"/>
          <w:szCs w:val="24"/>
          <w:lang w:eastAsia="hr-HR"/>
        </w:rPr>
      </w:pPr>
    </w:p>
    <w:p w14:paraId="68C89DAD" w14:textId="77777777" w:rsidR="003B35CE" w:rsidRDefault="003B35CE" w:rsidP="00E22310">
      <w:pPr>
        <w:rPr>
          <w:color w:val="000000"/>
          <w:sz w:val="24"/>
          <w:szCs w:val="24"/>
          <w:lang w:eastAsia="hr-HR"/>
        </w:rPr>
      </w:pPr>
    </w:p>
    <w:p w14:paraId="322FBD46" w14:textId="77777777" w:rsidR="00E22310" w:rsidRDefault="00E22310" w:rsidP="00E22310">
      <w:pPr>
        <w:jc w:val="center"/>
        <w:rPr>
          <w:color w:val="000000"/>
          <w:sz w:val="24"/>
          <w:szCs w:val="24"/>
          <w:lang w:eastAsia="hr-HR"/>
        </w:rPr>
      </w:pPr>
      <w:r>
        <w:rPr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Ravnatelj </w:t>
      </w:r>
    </w:p>
    <w:p w14:paraId="6C7D0729" w14:textId="16AAD892" w:rsidR="00E22310" w:rsidRDefault="00E22310" w:rsidP="00E22310">
      <w:pPr>
        <w:jc w:val="center"/>
        <w:rPr>
          <w:color w:val="000000"/>
          <w:sz w:val="24"/>
          <w:szCs w:val="24"/>
          <w:lang w:eastAsia="hr-HR"/>
        </w:rPr>
      </w:pPr>
      <w:r>
        <w:rPr>
          <w:color w:val="000000"/>
          <w:sz w:val="24"/>
          <w:szCs w:val="24"/>
          <w:lang w:eastAsia="hr-HR"/>
        </w:rPr>
        <w:t xml:space="preserve">                                                                                           Grgo Sabljić, struč.spec.ing.sec.</w:t>
      </w:r>
    </w:p>
    <w:p w14:paraId="1071198E" w14:textId="77777777" w:rsidR="00BF394B" w:rsidRDefault="00BF394B">
      <w:pPr>
        <w:jc w:val="left"/>
      </w:pPr>
    </w:p>
    <w:sectPr w:rsidR="00BF394B" w:rsidSect="00575353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2420C" w14:textId="77777777" w:rsidR="00575353" w:rsidRDefault="00575353" w:rsidP="00F352E6">
      <w:r>
        <w:separator/>
      </w:r>
    </w:p>
  </w:endnote>
  <w:endnote w:type="continuationSeparator" w:id="0">
    <w:p w14:paraId="10E754E9" w14:textId="77777777" w:rsidR="00575353" w:rsidRDefault="00575353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2DBB" w14:textId="77777777" w:rsidR="00BF1667" w:rsidRPr="00D769ED" w:rsidRDefault="00BF1667" w:rsidP="007D4430">
    <w:pPr>
      <w:pStyle w:val="Podnoje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88075" w14:textId="77777777" w:rsidR="00575353" w:rsidRDefault="00575353" w:rsidP="00F352E6">
      <w:r>
        <w:separator/>
      </w:r>
    </w:p>
  </w:footnote>
  <w:footnote w:type="continuationSeparator" w:id="0">
    <w:p w14:paraId="1B815F01" w14:textId="77777777" w:rsidR="00575353" w:rsidRDefault="00575353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9C60C" w14:textId="77777777" w:rsidR="00BF1667" w:rsidRDefault="00BF1667" w:rsidP="00A70582">
    <w:pPr>
      <w:pStyle w:val="Zaglavlje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C76"/>
    <w:rsid w:val="00013A1A"/>
    <w:rsid w:val="0002533C"/>
    <w:rsid w:val="000352D6"/>
    <w:rsid w:val="000C0A6C"/>
    <w:rsid w:val="0010779D"/>
    <w:rsid w:val="0013155A"/>
    <w:rsid w:val="0015158B"/>
    <w:rsid w:val="0017490A"/>
    <w:rsid w:val="001E5246"/>
    <w:rsid w:val="0027042C"/>
    <w:rsid w:val="002A0587"/>
    <w:rsid w:val="00311AA1"/>
    <w:rsid w:val="00382225"/>
    <w:rsid w:val="00386953"/>
    <w:rsid w:val="003B35CE"/>
    <w:rsid w:val="003E357C"/>
    <w:rsid w:val="00463609"/>
    <w:rsid w:val="00480C76"/>
    <w:rsid w:val="004C01B5"/>
    <w:rsid w:val="0052289C"/>
    <w:rsid w:val="00524A66"/>
    <w:rsid w:val="00526A7C"/>
    <w:rsid w:val="00575353"/>
    <w:rsid w:val="005A70C0"/>
    <w:rsid w:val="005B6ED7"/>
    <w:rsid w:val="005E2D85"/>
    <w:rsid w:val="00633683"/>
    <w:rsid w:val="00674346"/>
    <w:rsid w:val="006B3283"/>
    <w:rsid w:val="007665AA"/>
    <w:rsid w:val="0077011E"/>
    <w:rsid w:val="007A7E45"/>
    <w:rsid w:val="007D1C46"/>
    <w:rsid w:val="007D395B"/>
    <w:rsid w:val="007D4430"/>
    <w:rsid w:val="00847495"/>
    <w:rsid w:val="008636E2"/>
    <w:rsid w:val="008A7E2A"/>
    <w:rsid w:val="009359F2"/>
    <w:rsid w:val="0094382E"/>
    <w:rsid w:val="00951B1A"/>
    <w:rsid w:val="009E33D3"/>
    <w:rsid w:val="00A021A2"/>
    <w:rsid w:val="00A320E5"/>
    <w:rsid w:val="00A70582"/>
    <w:rsid w:val="00AB5FEA"/>
    <w:rsid w:val="00AB7B4E"/>
    <w:rsid w:val="00B15946"/>
    <w:rsid w:val="00B2737F"/>
    <w:rsid w:val="00B31E2E"/>
    <w:rsid w:val="00B41BF8"/>
    <w:rsid w:val="00BA487B"/>
    <w:rsid w:val="00BA7BD1"/>
    <w:rsid w:val="00BB642B"/>
    <w:rsid w:val="00BF02E9"/>
    <w:rsid w:val="00BF1667"/>
    <w:rsid w:val="00BF394B"/>
    <w:rsid w:val="00BF3F24"/>
    <w:rsid w:val="00C7470A"/>
    <w:rsid w:val="00DE2416"/>
    <w:rsid w:val="00E22310"/>
    <w:rsid w:val="00E40BE9"/>
    <w:rsid w:val="00E42E87"/>
    <w:rsid w:val="00E62EF0"/>
    <w:rsid w:val="00ED0E3A"/>
    <w:rsid w:val="00ED7C86"/>
    <w:rsid w:val="00F352E6"/>
    <w:rsid w:val="00F67315"/>
    <w:rsid w:val="00F91724"/>
    <w:rsid w:val="00F92AEE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8354B"/>
  <w15:docId w15:val="{8B5D75BC-09A8-4A24-AF6B-EA091288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semiHidden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semiHidden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35C74-F0A5-43D9-90B4-B27B2CF5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3132</Words>
  <Characters>17859</Characters>
  <Application>Microsoft Office Word</Application>
  <DocSecurity>0</DocSecurity>
  <Lines>148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Marasović</dc:creator>
  <cp:lastModifiedBy>Maria Mandarić</cp:lastModifiedBy>
  <cp:revision>8</cp:revision>
  <cp:lastPrinted>2024-03-21T11:53:00Z</cp:lastPrinted>
  <dcterms:created xsi:type="dcterms:W3CDTF">2024-03-21T09:57:00Z</dcterms:created>
  <dcterms:modified xsi:type="dcterms:W3CDTF">2024-03-21T12:05:00Z</dcterms:modified>
</cp:coreProperties>
</file>